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69" w:lineRule="auto"/>
      </w:pPr>
      <w:r>
        <w:rPr>
          <w:rFonts w:ascii="Calibri" w:hAnsi="Calibri"/>
          <w:b/>
          <w:i w:val="0"/>
          <w:color w:val="0B1026"/>
          <w:sz w:val="44"/>
        </w:rPr>
        <w:t>Auftragsverarbeitungsvertrag</w:t>
      </w:r>
    </w:p>
    <w:p>
      <w:pPr>
        <w:spacing w:before="0" w:after="160" w:line="269" w:lineRule="auto"/>
      </w:pPr>
      <w:r>
        <w:rPr>
          <w:rFonts w:ascii="Calibri" w:hAnsi="Calibri"/>
          <w:b w:val="0"/>
          <w:i w:val="0"/>
          <w:color w:val="485672"/>
          <w:sz w:val="23"/>
        </w:rPr>
        <w:t>gemäß Art. 28 DSGVO (AVV)</w:t>
      </w:r>
    </w:p>
    <w:tbl>
      <w:tblPr>
        <w:tblW w:type="auto" w:w="0"/>
        <w:tblLook w:firstColumn="1" w:firstRow="1" w:lastColumn="0" w:lastRow="0" w:noHBand="0" w:noVBand="1" w:val="04A0"/>
        <w:jc w:val="center"/>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4933"/>
        <w:gridCol w:w="4933"/>
      </w:tblGrid>
      <w:tr>
        <w:tc>
          <w:tcPr>
            <w:tcW w:type="dxa" w:w="4933"/>
            <w:shd w:val="clear" w:color="auto" w:fill="F4F6FC"/>
            <w:tcMar>
              <w:top w:w="60" w:type="dxa"/>
              <w:bottom w:w="60" w:type="dxa"/>
              <w:left w:w="100" w:type="dxa"/>
              <w:right w:w="100" w:type="dxa"/>
            </w:tcMar>
          </w:tcPr>
          <w:p>
            <w:pPr>
              <w:spacing w:after="80"/>
            </w:pPr>
            <w:r>
              <w:rPr>
                <w:rFonts w:ascii="Calibri" w:hAnsi="Calibri"/>
                <w:b/>
                <w:i w:val="0"/>
                <w:color w:val="4F46E5"/>
                <w:sz w:val="16"/>
              </w:rPr>
              <w:t>VERANTWORTLICHER</w:t>
            </w:r>
          </w:p>
          <w:p>
            <w:r>
              <w:rPr>
                <w:rFonts w:ascii="Calibri" w:hAnsi="Calibri"/>
                <w:b/>
                <w:i w:val="0"/>
                <w:color w:val="5B4B00"/>
                <w:sz w:val="19"/>
                <w:highlight w:val="yellow"/>
              </w:rPr>
              <w:t>Firma / Name des Kunden</w:t>
            </w:r>
            <w:r>
              <w:br/>
            </w:r>
            <w:r>
              <w:rPr>
                <w:rFonts w:ascii="Calibri" w:hAnsi="Calibri"/>
                <w:b w:val="0"/>
                <w:i w:val="0"/>
                <w:color w:val="5B4B00"/>
                <w:sz w:val="19"/>
                <w:highlight w:val="yellow"/>
              </w:rPr>
              <w:t>vertreten durch</w:t>
            </w:r>
            <w:r>
              <w:br/>
            </w:r>
            <w:r>
              <w:rPr>
                <w:rFonts w:ascii="Calibri" w:hAnsi="Calibri"/>
                <w:b w:val="0"/>
                <w:i w:val="0"/>
                <w:color w:val="5B4B00"/>
                <w:sz w:val="19"/>
                <w:highlight w:val="yellow"/>
              </w:rPr>
              <w:t>Straße, PLZ Ort</w:t>
            </w:r>
            <w:r>
              <w:br/>
            </w:r>
            <w:r>
              <w:rPr>
                <w:rFonts w:ascii="Calibri" w:hAnsi="Calibri"/>
                <w:b w:val="0"/>
                <w:i w:val="0"/>
                <w:color w:val="5B4B00"/>
                <w:sz w:val="19"/>
                <w:highlight w:val="yellow"/>
              </w:rPr>
              <w:t>E-Mail</w:t>
            </w:r>
            <w:r>
              <w:rPr>
                <w:rFonts w:ascii="Calibri" w:hAnsi="Calibri"/>
                <w:b w:val="0"/>
                <w:i w:val="0"/>
                <w:color w:val="0B1026"/>
                <w:sz w:val="19"/>
              </w:rPr>
              <w:t xml:space="preserve"> </w:t>
            </w:r>
          </w:p>
        </w:tc>
        <w:tc>
          <w:tcPr>
            <w:tcW w:type="dxa" w:w="4933"/>
            <w:shd w:val="clear" w:color="auto" w:fill="F4F6FC"/>
            <w:tcMar>
              <w:top w:w="60" w:type="dxa"/>
              <w:bottom w:w="60" w:type="dxa"/>
              <w:left w:w="100" w:type="dxa"/>
              <w:right w:w="100" w:type="dxa"/>
            </w:tcMar>
          </w:tcPr>
          <w:p>
            <w:pPr>
              <w:spacing w:after="80"/>
            </w:pPr>
            <w:r>
              <w:rPr>
                <w:rFonts w:ascii="Calibri" w:hAnsi="Calibri"/>
                <w:b/>
                <w:i w:val="0"/>
                <w:color w:val="4F46E5"/>
                <w:sz w:val="16"/>
              </w:rPr>
              <w:t>AUFTRAGSVERARBEITER</w:t>
            </w:r>
          </w:p>
          <w:p>
            <w:r>
              <w:rPr>
                <w:rFonts w:ascii="Calibri" w:hAnsi="Calibri"/>
                <w:b/>
                <w:i w:val="0"/>
                <w:color w:val="0B1026"/>
                <w:sz w:val="19"/>
              </w:rPr>
              <w:t>I &amp; R Development GbR</w:t>
            </w:r>
            <w:r>
              <w:br/>
            </w:r>
            <w:r>
              <w:rPr>
                <w:rFonts w:ascii="Calibri" w:hAnsi="Calibri"/>
                <w:b w:val="0"/>
                <w:i w:val="0"/>
                <w:color w:val="0B1026"/>
                <w:sz w:val="19"/>
              </w:rPr>
              <w:t>Ibrahim Hasan &amp; Ram Mohamad</w:t>
            </w:r>
            <w:r>
              <w:br/>
            </w:r>
            <w:r>
              <w:rPr>
                <w:rFonts w:ascii="Calibri" w:hAnsi="Calibri"/>
                <w:b w:val="0"/>
                <w:i w:val="0"/>
                <w:color w:val="0B1026"/>
                <w:sz w:val="19"/>
              </w:rPr>
              <w:t>Findorffstraße 60, 28215 Bremen</w:t>
            </w:r>
            <w:r>
              <w:br/>
            </w:r>
            <w:r>
              <w:rPr>
                <w:rFonts w:ascii="Calibri" w:hAnsi="Calibri"/>
                <w:b w:val="0"/>
                <w:i w:val="0"/>
                <w:color w:val="0B1026"/>
                <w:sz w:val="19"/>
              </w:rPr>
              <w:t xml:space="preserve">kontakt@i-r-dev.de </w:t>
            </w:r>
          </w:p>
        </w:tc>
      </w:tr>
    </w:tbl>
    <w:p>
      <w:pPr>
        <w:spacing w:before="40" w:after="80" w:line="269" w:lineRule="auto"/>
        <w:jc w:val="center"/>
      </w:pPr>
      <w:r>
        <w:rPr>
          <w:rFonts w:ascii="Calibri" w:hAnsi="Calibri"/>
          <w:b w:val="0"/>
          <w:i/>
          <w:color w:val="485672"/>
          <w:sz w:val="19"/>
        </w:rPr>
        <w:t>— schließen folgenden Vertrag zur Auftragsverarbeitung:</w:t>
      </w:r>
    </w:p>
    <w:p>
      <w:pPr>
        <w:spacing w:before="40" w:after="120" w:line="269" w:lineRule="auto"/>
      </w:pPr>
      <w:r>
        <w:rPr>
          <w:rFonts w:ascii="Calibri" w:hAnsi="Calibri"/>
          <w:b w:val="0"/>
          <w:i w:val="0"/>
          <w:color w:val="485672"/>
          <w:sz w:val="20"/>
        </w:rPr>
        <w:t>Dieser Vertrag konkretisiert die Pflichten der Parteien aus Art. 28 DSGVO, die sich aus der Verarbeitung personenbezogener Daten durch den Auftragsverarbeiter im Auftrag des Verantwortlichen im Rahmen des Hauptvertrages (z. B. Werk-, Wartungs- oder Dienstleistungsvertrag) ergeben.</w:t>
      </w:r>
    </w:p>
    <w:p>
      <w:pPr>
        <w:spacing w:before="200" w:after="80" w:line="269" w:lineRule="auto"/>
        <w:pBdr>
          <w:bottom w:val="single" w:sz="6" w:space="3" w:color="D7DCEA"/>
        </w:pBdr>
      </w:pPr>
      <w:r>
        <w:rPr>
          <w:rFonts w:ascii="Calibri" w:hAnsi="Calibri"/>
          <w:b/>
          <w:i w:val="0"/>
          <w:color w:val="4F46E5"/>
          <w:sz w:val="24"/>
        </w:rPr>
        <w:t xml:space="preserve">§ 1  </w:t>
      </w:r>
      <w:r>
        <w:rPr>
          <w:rFonts w:ascii="Calibri" w:hAnsi="Calibri"/>
          <w:b/>
          <w:i w:val="0"/>
          <w:color w:val="0B1026"/>
          <w:sz w:val="24"/>
        </w:rPr>
        <w:t>Gegenstand &amp; Dauer</w:t>
      </w:r>
    </w:p>
    <w:p>
      <w:pPr>
        <w:spacing w:before="40" w:after="120" w:line="269" w:lineRule="auto"/>
      </w:pPr>
      <w:r>
        <w:rPr>
          <w:rFonts w:ascii="Calibri" w:hAnsi="Calibri"/>
          <w:b w:val="0"/>
          <w:i w:val="0"/>
          <w:color w:val="0B1026"/>
          <w:sz w:val="21"/>
        </w:rPr>
        <w:t xml:space="preserve">(1) Gegenstand, Art, Zweck und Umfang der Verarbeitung sowie die Art der Daten und die Kreise der betroffenen Personen ergeben sich aus </w:t>
      </w:r>
      <w:r>
        <w:rPr>
          <w:rFonts w:ascii="Calibri" w:hAnsi="Calibri"/>
          <w:b/>
          <w:i w:val="0"/>
          <w:color w:val="0B1026"/>
          <w:sz w:val="21"/>
        </w:rPr>
        <w:t>Anlage 1</w:t>
      </w:r>
      <w:r>
        <w:rPr>
          <w:rFonts w:ascii="Calibri" w:hAnsi="Calibri"/>
          <w:b w:val="0"/>
          <w:i w:val="0"/>
          <w:color w:val="0B1026"/>
          <w:sz w:val="21"/>
        </w:rPr>
        <w:t>.</w:t>
      </w:r>
    </w:p>
    <w:p>
      <w:pPr>
        <w:spacing w:before="40" w:after="120" w:line="269" w:lineRule="auto"/>
      </w:pPr>
      <w:r>
        <w:rPr>
          <w:rFonts w:ascii="Calibri" w:hAnsi="Calibri"/>
          <w:b w:val="0"/>
          <w:i w:val="0"/>
          <w:color w:val="0B1026"/>
          <w:sz w:val="21"/>
        </w:rPr>
        <w:t>(2) Die Laufzeit entspricht der Laufzeit des Hauptvertrages und endet mit dessen Beendigung.</w:t>
      </w:r>
    </w:p>
    <w:p>
      <w:pPr>
        <w:spacing w:before="200" w:after="80" w:line="269" w:lineRule="auto"/>
        <w:pBdr>
          <w:bottom w:val="single" w:sz="6" w:space="3" w:color="D7DCEA"/>
        </w:pBdr>
      </w:pPr>
      <w:r>
        <w:rPr>
          <w:rFonts w:ascii="Calibri" w:hAnsi="Calibri"/>
          <w:b/>
          <w:i w:val="0"/>
          <w:color w:val="4F46E5"/>
          <w:sz w:val="24"/>
        </w:rPr>
        <w:t xml:space="preserve">§ 2  </w:t>
      </w:r>
      <w:r>
        <w:rPr>
          <w:rFonts w:ascii="Calibri" w:hAnsi="Calibri"/>
          <w:b/>
          <w:i w:val="0"/>
          <w:color w:val="0B1026"/>
          <w:sz w:val="24"/>
        </w:rPr>
        <w:t>Weisungsrecht</w:t>
      </w:r>
    </w:p>
    <w:p>
      <w:pPr>
        <w:spacing w:before="40" w:after="120" w:line="269" w:lineRule="auto"/>
      </w:pPr>
      <w:r>
        <w:rPr>
          <w:rFonts w:ascii="Calibri" w:hAnsi="Calibri"/>
          <w:b w:val="0"/>
          <w:i w:val="0"/>
          <w:color w:val="0B1026"/>
          <w:sz w:val="21"/>
        </w:rPr>
        <w:t>(1) Der Auftragsverarbeiter verarbeitet personenbezogene Daten ausschließlich auf dokumentierte Weisung des Verantwortlichen, es sei denn, er ist gesetzlich zu einer anderen Verarbeitung verpflichtet.</w:t>
      </w:r>
    </w:p>
    <w:p>
      <w:pPr>
        <w:spacing w:before="40" w:after="120" w:line="269" w:lineRule="auto"/>
      </w:pPr>
      <w:r>
        <w:rPr>
          <w:rFonts w:ascii="Calibri" w:hAnsi="Calibri"/>
          <w:b w:val="0"/>
          <w:i w:val="0"/>
          <w:color w:val="0B1026"/>
          <w:sz w:val="21"/>
        </w:rPr>
        <w:t>(2) Weisungen erfolgen grundsätzlich in Textform. Hält der Auftragsverarbeiter eine Weisung für rechtswidrig, informiert er den Verantwortlichen unverzüglich.</w:t>
      </w:r>
    </w:p>
    <w:p>
      <w:pPr>
        <w:spacing w:before="200" w:after="80" w:line="269" w:lineRule="auto"/>
        <w:pBdr>
          <w:bottom w:val="single" w:sz="6" w:space="3" w:color="D7DCEA"/>
        </w:pBdr>
      </w:pPr>
      <w:r>
        <w:rPr>
          <w:rFonts w:ascii="Calibri" w:hAnsi="Calibri"/>
          <w:b/>
          <w:i w:val="0"/>
          <w:color w:val="4F46E5"/>
          <w:sz w:val="24"/>
        </w:rPr>
        <w:t xml:space="preserve">§ 3  </w:t>
      </w:r>
      <w:r>
        <w:rPr>
          <w:rFonts w:ascii="Calibri" w:hAnsi="Calibri"/>
          <w:b/>
          <w:i w:val="0"/>
          <w:color w:val="0B1026"/>
          <w:sz w:val="24"/>
        </w:rPr>
        <w:t>Pflichten des Auftragsverarbeiters</w:t>
      </w:r>
    </w:p>
    <w:p>
      <w:pPr>
        <w:spacing w:before="20" w:after="60" w:line="269" w:lineRule="auto"/>
        <w:ind w:left="454"/>
      </w:pPr>
      <w:r>
        <w:rPr>
          <w:rFonts w:ascii="Calibri" w:hAnsi="Calibri"/>
          <w:b/>
          <w:i w:val="0"/>
          <w:color w:val="4F46E5"/>
          <w:sz w:val="21"/>
        </w:rPr>
        <w:t xml:space="preserve">a) </w:t>
      </w:r>
      <w:r>
        <w:rPr>
          <w:rFonts w:ascii="Calibri" w:hAnsi="Calibri"/>
          <w:b w:val="0"/>
          <w:i w:val="0"/>
          <w:color w:val="0B1026"/>
          <w:sz w:val="21"/>
        </w:rPr>
        <w:t>Verarbeitung nur im Rahmen des Auftrags und der Weisungen;</w:t>
      </w:r>
    </w:p>
    <w:p>
      <w:pPr>
        <w:spacing w:before="20" w:after="60" w:line="269" w:lineRule="auto"/>
        <w:ind w:left="454"/>
      </w:pPr>
      <w:r>
        <w:rPr>
          <w:rFonts w:ascii="Calibri" w:hAnsi="Calibri"/>
          <w:b/>
          <w:i w:val="0"/>
          <w:color w:val="4F46E5"/>
          <w:sz w:val="21"/>
        </w:rPr>
        <w:t xml:space="preserve">b) </w:t>
      </w:r>
      <w:r>
        <w:rPr>
          <w:rFonts w:ascii="Calibri" w:hAnsi="Calibri"/>
          <w:b w:val="0"/>
          <w:i w:val="0"/>
          <w:color w:val="0B1026"/>
          <w:sz w:val="21"/>
        </w:rPr>
        <w:t>Verpflichtung der zur Verarbeitung befugten Personen auf Vertraulichkeit (Art. 28 Abs. 3 lit. b, Art. 29 DSGVO);</w:t>
      </w:r>
    </w:p>
    <w:p>
      <w:pPr>
        <w:spacing w:before="20" w:after="60" w:line="269" w:lineRule="auto"/>
        <w:ind w:left="454"/>
      </w:pPr>
      <w:r>
        <w:rPr>
          <w:rFonts w:ascii="Calibri" w:hAnsi="Calibri"/>
          <w:b/>
          <w:i w:val="0"/>
          <w:color w:val="4F46E5"/>
          <w:sz w:val="21"/>
        </w:rPr>
        <w:t xml:space="preserve">c) </w:t>
      </w:r>
      <w:r>
        <w:rPr>
          <w:rFonts w:ascii="Calibri" w:hAnsi="Calibri"/>
          <w:b w:val="0"/>
          <w:i w:val="0"/>
          <w:color w:val="0B1026"/>
          <w:sz w:val="21"/>
        </w:rPr>
        <w:t xml:space="preserve">Umsetzung der technischen und organisatorischen Maßnahmen nach Art. 32 DSGVO gemäß </w:t>
      </w:r>
      <w:r>
        <w:rPr>
          <w:rFonts w:ascii="Calibri" w:hAnsi="Calibri"/>
          <w:b/>
          <w:i w:val="0"/>
          <w:color w:val="0B1026"/>
          <w:sz w:val="21"/>
        </w:rPr>
        <w:t>Anlage 2</w:t>
      </w:r>
      <w:r>
        <w:rPr>
          <w:rFonts w:ascii="Calibri" w:hAnsi="Calibri"/>
          <w:b w:val="0"/>
          <w:i w:val="0"/>
          <w:color w:val="0B1026"/>
          <w:sz w:val="21"/>
        </w:rPr>
        <w:t>;</w:t>
      </w:r>
    </w:p>
    <w:p>
      <w:pPr>
        <w:spacing w:before="20" w:after="60" w:line="269" w:lineRule="auto"/>
        <w:ind w:left="454"/>
      </w:pPr>
      <w:r>
        <w:rPr>
          <w:rFonts w:ascii="Calibri" w:hAnsi="Calibri"/>
          <w:b/>
          <w:i w:val="0"/>
          <w:color w:val="4F46E5"/>
          <w:sz w:val="21"/>
        </w:rPr>
        <w:t xml:space="preserve">d) </w:t>
      </w:r>
      <w:r>
        <w:rPr>
          <w:rFonts w:ascii="Calibri" w:hAnsi="Calibri"/>
          <w:b w:val="0"/>
          <w:i w:val="0"/>
          <w:color w:val="0B1026"/>
          <w:sz w:val="21"/>
        </w:rPr>
        <w:t xml:space="preserve">Einhaltung der Bedingungen für die Inanspruchnahme weiterer Auftragsverarbeiter (§ 5, </w:t>
      </w:r>
      <w:r>
        <w:rPr>
          <w:rFonts w:ascii="Calibri" w:hAnsi="Calibri"/>
          <w:b/>
          <w:i w:val="0"/>
          <w:color w:val="0B1026"/>
          <w:sz w:val="21"/>
        </w:rPr>
        <w:t>Anlage 3</w:t>
      </w:r>
      <w:r>
        <w:rPr>
          <w:rFonts w:ascii="Calibri" w:hAnsi="Calibri"/>
          <w:b w:val="0"/>
          <w:i w:val="0"/>
          <w:color w:val="0B1026"/>
          <w:sz w:val="21"/>
        </w:rPr>
        <w:t>);</w:t>
      </w:r>
    </w:p>
    <w:p>
      <w:pPr>
        <w:spacing w:before="20" w:after="60" w:line="269" w:lineRule="auto"/>
        <w:ind w:left="454"/>
      </w:pPr>
      <w:r>
        <w:rPr>
          <w:rFonts w:ascii="Calibri" w:hAnsi="Calibri"/>
          <w:b/>
          <w:i w:val="0"/>
          <w:color w:val="4F46E5"/>
          <w:sz w:val="21"/>
        </w:rPr>
        <w:t xml:space="preserve">e) </w:t>
      </w:r>
      <w:r>
        <w:rPr>
          <w:rFonts w:ascii="Calibri" w:hAnsi="Calibri"/>
          <w:b w:val="0"/>
          <w:i w:val="0"/>
          <w:color w:val="0B1026"/>
          <w:sz w:val="21"/>
        </w:rPr>
        <w:t>Unterstützung des Verantwortlichen bei Betroffenenrechten (§ 4) und bei den Pflichten nach Art. 32–36 DSGVO;</w:t>
      </w:r>
    </w:p>
    <w:p>
      <w:pPr>
        <w:spacing w:before="20" w:after="60" w:line="269" w:lineRule="auto"/>
        <w:ind w:left="454"/>
      </w:pPr>
      <w:r>
        <w:rPr>
          <w:rFonts w:ascii="Calibri" w:hAnsi="Calibri"/>
          <w:b/>
          <w:i w:val="0"/>
          <w:color w:val="4F46E5"/>
          <w:sz w:val="21"/>
        </w:rPr>
        <w:t xml:space="preserve">f) </w:t>
      </w:r>
      <w:r>
        <w:rPr>
          <w:rFonts w:ascii="Calibri" w:hAnsi="Calibri"/>
          <w:b w:val="0"/>
          <w:i w:val="0"/>
          <w:color w:val="0B1026"/>
          <w:sz w:val="21"/>
        </w:rPr>
        <w:t>Löschung oder Rückgabe der Daten nach Wahl des Verantwortlichen bei Auftragsende (§ 7);</w:t>
      </w:r>
    </w:p>
    <w:p>
      <w:pPr>
        <w:spacing w:before="20" w:after="60" w:line="269" w:lineRule="auto"/>
        <w:ind w:left="454"/>
      </w:pPr>
      <w:r>
        <w:rPr>
          <w:rFonts w:ascii="Calibri" w:hAnsi="Calibri"/>
          <w:b/>
          <w:i w:val="0"/>
          <w:color w:val="4F46E5"/>
          <w:sz w:val="21"/>
        </w:rPr>
        <w:t xml:space="preserve">g) </w:t>
      </w:r>
      <w:r>
        <w:rPr>
          <w:rFonts w:ascii="Calibri" w:hAnsi="Calibri"/>
          <w:b w:val="0"/>
          <w:i w:val="0"/>
          <w:color w:val="0B1026"/>
          <w:sz w:val="21"/>
        </w:rPr>
        <w:t>Bereitstellung aller erforderlichen Informationen zum Nachweis der Einhaltung und Ermöglichung von Überprüfungen (§ 8);</w:t>
      </w:r>
    </w:p>
    <w:p>
      <w:pPr>
        <w:spacing w:before="20" w:after="60" w:line="269" w:lineRule="auto"/>
        <w:ind w:left="454"/>
      </w:pPr>
      <w:r>
        <w:rPr>
          <w:rFonts w:ascii="Calibri" w:hAnsi="Calibri"/>
          <w:b/>
          <w:i w:val="0"/>
          <w:color w:val="4F46E5"/>
          <w:sz w:val="21"/>
        </w:rPr>
        <w:t xml:space="preserve">h) </w:t>
      </w:r>
      <w:r>
        <w:rPr>
          <w:rFonts w:ascii="Calibri" w:hAnsi="Calibri"/>
          <w:b w:val="0"/>
          <w:i w:val="0"/>
          <w:color w:val="0B1026"/>
          <w:sz w:val="21"/>
        </w:rPr>
        <w:t xml:space="preserve">Benennung einer Kontaktstelle für den Datenschutz: </w:t>
      </w:r>
      <w:r>
        <w:rPr>
          <w:rFonts w:ascii="Calibri" w:hAnsi="Calibri"/>
          <w:b w:val="0"/>
          <w:i w:val="0"/>
          <w:color w:val="5B4B00"/>
          <w:sz w:val="21"/>
          <w:highlight w:val="yellow"/>
        </w:rPr>
        <w:t>kontakt@i-r-dev.de</w:t>
      </w:r>
      <w:r>
        <w:rPr>
          <w:rFonts w:ascii="Calibri" w:hAnsi="Calibri"/>
          <w:b w:val="0"/>
          <w:i w:val="0"/>
          <w:color w:val="0B1026"/>
          <w:sz w:val="21"/>
        </w:rPr>
        <w:t>.</w:t>
      </w:r>
    </w:p>
    <w:p>
      <w:pPr>
        <w:spacing w:before="200" w:after="80" w:line="269" w:lineRule="auto"/>
        <w:pBdr>
          <w:bottom w:val="single" w:sz="6" w:space="3" w:color="D7DCEA"/>
        </w:pBdr>
      </w:pPr>
      <w:r>
        <w:rPr>
          <w:rFonts w:ascii="Calibri" w:hAnsi="Calibri"/>
          <w:b/>
          <w:i w:val="0"/>
          <w:color w:val="4F46E5"/>
          <w:sz w:val="24"/>
        </w:rPr>
        <w:t xml:space="preserve">§ 4  </w:t>
      </w:r>
      <w:r>
        <w:rPr>
          <w:rFonts w:ascii="Calibri" w:hAnsi="Calibri"/>
          <w:b/>
          <w:i w:val="0"/>
          <w:color w:val="0B1026"/>
          <w:sz w:val="24"/>
        </w:rPr>
        <w:t>Unterstützung bei Betroffenenrechten</w:t>
      </w:r>
    </w:p>
    <w:p>
      <w:pPr>
        <w:spacing w:before="40" w:after="120" w:line="269" w:lineRule="auto"/>
      </w:pPr>
      <w:r>
        <w:rPr>
          <w:rFonts w:ascii="Calibri" w:hAnsi="Calibri"/>
          <w:b w:val="0"/>
          <w:i w:val="0"/>
          <w:color w:val="0B1026"/>
          <w:sz w:val="21"/>
        </w:rPr>
        <w:t>Der Auftragsverarbeiter unterstützt den Verantwortlichen mit geeigneten Maßnahmen dabei, Anträge betroffener Personen (Auskunft, Berichtigung, Löschung, Einschränkung, Datenübertragbarkeit, Widerspruch) zu beantworten. Wendet sich eine betroffene Person direkt an den Auftragsverarbeiter, leitet dieser das Anliegen unverzüglich an den Verantwortlichen weiter.</w:t>
      </w:r>
    </w:p>
    <w:p>
      <w:pPr>
        <w:spacing w:before="200" w:after="80" w:line="269" w:lineRule="auto"/>
        <w:pBdr>
          <w:bottom w:val="single" w:sz="6" w:space="3" w:color="D7DCEA"/>
        </w:pBdr>
      </w:pPr>
      <w:r>
        <w:rPr>
          <w:rFonts w:ascii="Calibri" w:hAnsi="Calibri"/>
          <w:b/>
          <w:i w:val="0"/>
          <w:color w:val="4F46E5"/>
          <w:sz w:val="24"/>
        </w:rPr>
        <w:t xml:space="preserve">§ 5  </w:t>
      </w:r>
      <w:r>
        <w:rPr>
          <w:rFonts w:ascii="Calibri" w:hAnsi="Calibri"/>
          <w:b/>
          <w:i w:val="0"/>
          <w:color w:val="0B1026"/>
          <w:sz w:val="24"/>
        </w:rPr>
        <w:t>Weitere Auftragsverarbeiter (Unterauftragnehmer)</w:t>
      </w:r>
    </w:p>
    <w:p>
      <w:pPr>
        <w:spacing w:before="40" w:after="120" w:line="269" w:lineRule="auto"/>
      </w:pPr>
      <w:r>
        <w:rPr>
          <w:rFonts w:ascii="Calibri" w:hAnsi="Calibri"/>
          <w:b w:val="0"/>
          <w:i w:val="0"/>
          <w:color w:val="0B1026"/>
          <w:sz w:val="21"/>
        </w:rPr>
        <w:t xml:space="preserve">(1) Der Verantwortliche erteilt eine allgemeine Genehmigung zur Inanspruchnahme der in </w:t>
      </w:r>
      <w:r>
        <w:rPr>
          <w:rFonts w:ascii="Calibri" w:hAnsi="Calibri"/>
          <w:b/>
          <w:i w:val="0"/>
          <w:color w:val="0B1026"/>
          <w:sz w:val="21"/>
        </w:rPr>
        <w:t>Anlage 3</w:t>
      </w:r>
      <w:r>
        <w:rPr>
          <w:rFonts w:ascii="Calibri" w:hAnsi="Calibri"/>
          <w:b w:val="0"/>
          <w:i w:val="0"/>
          <w:color w:val="0B1026"/>
          <w:sz w:val="21"/>
        </w:rPr>
        <w:t xml:space="preserve"> genannten Unterauftragnehmer.</w:t>
      </w:r>
    </w:p>
    <w:p>
      <w:pPr>
        <w:spacing w:before="40" w:after="120" w:line="269" w:lineRule="auto"/>
      </w:pPr>
      <w:r>
        <w:rPr>
          <w:rFonts w:ascii="Calibri" w:hAnsi="Calibri"/>
          <w:b w:val="0"/>
          <w:i w:val="0"/>
          <w:color w:val="0B1026"/>
          <w:sz w:val="21"/>
        </w:rPr>
        <w:t>(2) Über beabsichtigte Änderungen (Hinzuziehung/Ersetzung) informiert der Auftragsverarbeiter den Verantwortlichen rechtzeitig vorab; dieser kann der Änderung aus wichtigem Grund widersprechen.</w:t>
      </w:r>
    </w:p>
    <w:p>
      <w:pPr>
        <w:spacing w:before="40" w:after="120" w:line="269" w:lineRule="auto"/>
      </w:pPr>
      <w:r>
        <w:rPr>
          <w:rFonts w:ascii="Calibri" w:hAnsi="Calibri"/>
          <w:b w:val="0"/>
          <w:i w:val="0"/>
          <w:color w:val="0B1026"/>
          <w:sz w:val="21"/>
        </w:rPr>
        <w:t>(3) Der Auftragsverarbeiter erlegt jedem Unterauftragnehmer dieselben Datenschutzpflichten vertraglich auf, die in diesem Vertrag festgelegt sind.</w:t>
      </w:r>
    </w:p>
    <w:p>
      <w:pPr>
        <w:spacing w:before="200" w:after="80" w:line="269" w:lineRule="auto"/>
        <w:pBdr>
          <w:bottom w:val="single" w:sz="6" w:space="3" w:color="D7DCEA"/>
        </w:pBdr>
      </w:pPr>
      <w:r>
        <w:rPr>
          <w:rFonts w:ascii="Calibri" w:hAnsi="Calibri"/>
          <w:b/>
          <w:i w:val="0"/>
          <w:color w:val="4F46E5"/>
          <w:sz w:val="24"/>
        </w:rPr>
        <w:t xml:space="preserve">§ 6  </w:t>
      </w:r>
      <w:r>
        <w:rPr>
          <w:rFonts w:ascii="Calibri" w:hAnsi="Calibri"/>
          <w:b/>
          <w:i w:val="0"/>
          <w:color w:val="0B1026"/>
          <w:sz w:val="24"/>
        </w:rPr>
        <w:t>Datenschutzverletzungen</w:t>
      </w:r>
    </w:p>
    <w:p>
      <w:pPr>
        <w:spacing w:before="40" w:after="120" w:line="269" w:lineRule="auto"/>
      </w:pPr>
      <w:r>
        <w:rPr>
          <w:rFonts w:ascii="Calibri" w:hAnsi="Calibri"/>
          <w:b w:val="0"/>
          <w:i w:val="0"/>
          <w:color w:val="0B1026"/>
          <w:sz w:val="21"/>
        </w:rPr>
        <w:t>Der Auftragsverarbeiter meldet dem Verantwortlichen Verletzungen des Schutzes personenbezogener Daten unverzüglich nach Bekanntwerden (in der Regel innerhalb von 24 Stunden) und unterstützt ihn bei dessen Melde- und Benachrichtigungspflichten (Art. 33, 34 DSGVO).</w:t>
      </w:r>
    </w:p>
    <w:p>
      <w:pPr>
        <w:spacing w:before="200" w:after="80" w:line="269" w:lineRule="auto"/>
        <w:pBdr>
          <w:bottom w:val="single" w:sz="6" w:space="3" w:color="D7DCEA"/>
        </w:pBdr>
      </w:pPr>
      <w:r>
        <w:rPr>
          <w:rFonts w:ascii="Calibri" w:hAnsi="Calibri"/>
          <w:b/>
          <w:i w:val="0"/>
          <w:color w:val="4F46E5"/>
          <w:sz w:val="24"/>
        </w:rPr>
        <w:t xml:space="preserve">§ 7  </w:t>
      </w:r>
      <w:r>
        <w:rPr>
          <w:rFonts w:ascii="Calibri" w:hAnsi="Calibri"/>
          <w:b/>
          <w:i w:val="0"/>
          <w:color w:val="0B1026"/>
          <w:sz w:val="24"/>
        </w:rPr>
        <w:t>Löschung &amp; Rückgabe</w:t>
      </w:r>
    </w:p>
    <w:p>
      <w:pPr>
        <w:spacing w:before="40" w:after="120" w:line="269" w:lineRule="auto"/>
      </w:pPr>
      <w:r>
        <w:rPr>
          <w:rFonts w:ascii="Calibri" w:hAnsi="Calibri"/>
          <w:b w:val="0"/>
          <w:i w:val="0"/>
          <w:color w:val="0B1026"/>
          <w:sz w:val="21"/>
        </w:rPr>
        <w:t>Nach Abschluss der Verarbeitung löscht der Auftragsverarbeiter nach Wahl des Verantwortlichen alle personenbezogenen Daten oder gibt sie zurück und löscht vorhandene Kopien, sofern keine gesetzliche Aufbewahrungspflicht besteht. Die Löschung wird auf Verlangen schriftlich bestätigt.</w:t>
      </w:r>
    </w:p>
    <w:p>
      <w:pPr>
        <w:spacing w:before="200" w:after="80" w:line="269" w:lineRule="auto"/>
        <w:pBdr>
          <w:bottom w:val="single" w:sz="6" w:space="3" w:color="D7DCEA"/>
        </w:pBdr>
      </w:pPr>
      <w:r>
        <w:rPr>
          <w:rFonts w:ascii="Calibri" w:hAnsi="Calibri"/>
          <w:b/>
          <w:i w:val="0"/>
          <w:color w:val="4F46E5"/>
          <w:sz w:val="24"/>
        </w:rPr>
        <w:t xml:space="preserve">§ 8  </w:t>
      </w:r>
      <w:r>
        <w:rPr>
          <w:rFonts w:ascii="Calibri" w:hAnsi="Calibri"/>
          <w:b/>
          <w:i w:val="0"/>
          <w:color w:val="0B1026"/>
          <w:sz w:val="24"/>
        </w:rPr>
        <w:t>Nachweise &amp; Kontrollen</w:t>
      </w:r>
    </w:p>
    <w:p>
      <w:pPr>
        <w:spacing w:before="40" w:after="120" w:line="269" w:lineRule="auto"/>
      </w:pPr>
      <w:r>
        <w:rPr>
          <w:rFonts w:ascii="Calibri" w:hAnsi="Calibri"/>
          <w:b w:val="0"/>
          <w:i w:val="0"/>
          <w:color w:val="0B1026"/>
          <w:sz w:val="21"/>
        </w:rPr>
        <w:t>Der Auftragsverarbeiter weist die Einhaltung dieses Vertrages auf Anfrage nach (z. B. durch Auskünfte, aktuelle Bestätigungen oder Berichte). Der Verantwortliche ist berechtigt, sich nach angemessener Vorankündigung von der Einhaltung zu überzeugen; vor-Ort-Prüfungen erfolgen ohne Störung des Betriebs.</w:t>
      </w:r>
    </w:p>
    <w:p>
      <w:pPr>
        <w:spacing w:before="200" w:after="80" w:line="269" w:lineRule="auto"/>
        <w:pBdr>
          <w:bottom w:val="single" w:sz="6" w:space="3" w:color="D7DCEA"/>
        </w:pBdr>
      </w:pPr>
      <w:r>
        <w:rPr>
          <w:rFonts w:ascii="Calibri" w:hAnsi="Calibri"/>
          <w:b/>
          <w:i w:val="0"/>
          <w:color w:val="4F46E5"/>
          <w:sz w:val="24"/>
        </w:rPr>
        <w:t xml:space="preserve">§ 9  </w:t>
      </w:r>
      <w:r>
        <w:rPr>
          <w:rFonts w:ascii="Calibri" w:hAnsi="Calibri"/>
          <w:b/>
          <w:i w:val="0"/>
          <w:color w:val="0B1026"/>
          <w:sz w:val="24"/>
        </w:rPr>
        <w:t>Haftung &amp; Schlussbestimmungen</w:t>
      </w:r>
    </w:p>
    <w:p>
      <w:pPr>
        <w:spacing w:before="40" w:after="120" w:line="269" w:lineRule="auto"/>
      </w:pPr>
      <w:r>
        <w:rPr>
          <w:rFonts w:ascii="Calibri" w:hAnsi="Calibri"/>
          <w:b w:val="0"/>
          <w:i w:val="0"/>
          <w:color w:val="0B1026"/>
          <w:sz w:val="21"/>
        </w:rPr>
        <w:t>(1) Für die Haftung gilt Art. 82 DSGVO. Im Innenverhältnis gelten ergänzend die Haftungsregelungen des Hauptvertrages.</w:t>
      </w:r>
    </w:p>
    <w:p>
      <w:pPr>
        <w:spacing w:before="40" w:after="120" w:line="269" w:lineRule="auto"/>
      </w:pPr>
      <w:r>
        <w:rPr>
          <w:rFonts w:ascii="Calibri" w:hAnsi="Calibri"/>
          <w:b w:val="0"/>
          <w:i w:val="0"/>
          <w:color w:val="0B1026"/>
          <w:sz w:val="21"/>
        </w:rPr>
        <w:t>(2) Bei Widersprüchen zwischen diesem AVV und dem Hauptvertrag gehen die Regelungen dieses AVV in Datenschutzfragen vor. Es gilt deutsches Recht; Gerichtsstand ist — soweit zulässig — Bremen. Änderungen bedürfen der Textform.</w:t>
      </w:r>
    </w:p>
    <w:p>
      <w:pPr>
        <w:spacing w:before="240" w:after="100" w:line="269" w:lineRule="auto"/>
        <w:pBdr>
          <w:top w:val="single" w:sz="10" w:space="6" w:color="0B1026"/>
        </w:pBdr>
      </w:pPr>
      <w:r>
        <w:rPr>
          <w:rFonts w:ascii="Calibri" w:hAnsi="Calibri"/>
          <w:b/>
          <w:i w:val="0"/>
          <w:color w:val="0B1026"/>
          <w:sz w:val="25"/>
        </w:rPr>
        <w:t>Anlage 1 — Beschreibung der Verarbeitung</w:t>
      </w:r>
    </w:p>
    <w:tbl>
      <w:tblPr>
        <w:tblW w:type="auto" w:w="0"/>
        <w:tblLook w:firstColumn="1" w:firstRow="1" w:lastColumn="0" w:lastRow="0" w:noHBand="0" w:noVBand="1" w:val="04A0"/>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4933"/>
        <w:gridCol w:w="4933"/>
      </w:tblGrid>
      <w:tr>
        <w:tc>
          <w:tcPr>
            <w:tcW w:type="dxa" w:w="4933"/>
            <w:tcMar>
              <w:top w:w="60" w:type="dxa"/>
              <w:bottom w:w="60" w:type="dxa"/>
              <w:left w:w="100" w:type="dxa"/>
              <w:right w:w="100" w:type="dxa"/>
            </w:tcMar>
            <w:shd w:val="clear" w:color="auto" w:fill="F4F6FC"/>
          </w:tcPr>
          <w:p>
            <w:r>
              <w:rPr>
                <w:rFonts w:ascii="Calibri" w:hAnsi="Calibri"/>
                <w:b/>
                <w:i w:val="0"/>
                <w:color w:val="0B1026"/>
                <w:sz w:val="18"/>
              </w:rPr>
              <w:t>Gegenstand der Verarbeitung</w:t>
            </w:r>
          </w:p>
        </w:tc>
        <w:tc>
          <w:tcPr>
            <w:tcW w:type="dxa" w:w="4933"/>
            <w:tcMar>
              <w:top w:w="60" w:type="dxa"/>
              <w:bottom w:w="60" w:type="dxa"/>
              <w:left w:w="100" w:type="dxa"/>
              <w:right w:w="100" w:type="dxa"/>
            </w:tcMar>
          </w:tcPr>
          <w:p>
            <w:r>
              <w:rPr>
                <w:rFonts w:ascii="Calibri" w:hAnsi="Calibri"/>
                <w:b w:val="0"/>
                <w:i w:val="0"/>
                <w:color w:val="5B4B00"/>
                <w:sz w:val="18"/>
                <w:highlight w:val="yellow"/>
              </w:rPr>
              <w:t>z. B. Betrieb/Wartung der Software „…"</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Art der Verarbeitung</w:t>
            </w:r>
          </w:p>
        </w:tc>
        <w:tc>
          <w:tcPr>
            <w:tcW w:type="dxa" w:w="4933"/>
            <w:tcMar>
              <w:top w:w="60" w:type="dxa"/>
              <w:bottom w:w="60" w:type="dxa"/>
              <w:left w:w="100" w:type="dxa"/>
              <w:right w:w="100" w:type="dxa"/>
            </w:tcMar>
          </w:tcPr>
          <w:p>
            <w:r>
              <w:rPr>
                <w:rFonts w:ascii="Calibri" w:hAnsi="Calibri"/>
                <w:b w:val="0"/>
                <w:i w:val="0"/>
                <w:color w:val="0B1026"/>
                <w:sz w:val="18"/>
              </w:rPr>
              <w:t>Erheben, Speichern, Ändern, Auslesen, Löschen im Rahmen des Hauptvertrages</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Zweck</w:t>
            </w:r>
          </w:p>
        </w:tc>
        <w:tc>
          <w:tcPr>
            <w:tcW w:type="dxa" w:w="4933"/>
            <w:tcMar>
              <w:top w:w="60" w:type="dxa"/>
              <w:bottom w:w="60" w:type="dxa"/>
              <w:left w:w="100" w:type="dxa"/>
              <w:right w:w="100" w:type="dxa"/>
            </w:tcMar>
          </w:tcPr>
          <w:p>
            <w:r>
              <w:rPr>
                <w:rFonts w:ascii="Calibri" w:hAnsi="Calibri"/>
                <w:b w:val="0"/>
                <w:i w:val="0"/>
                <w:color w:val="5B4B00"/>
                <w:sz w:val="18"/>
                <w:highlight w:val="yellow"/>
              </w:rPr>
              <w:t>z. B. Bereitstellung der Anwendung für den Verantwortlichen</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Art der Daten</w:t>
            </w:r>
          </w:p>
        </w:tc>
        <w:tc>
          <w:tcPr>
            <w:tcW w:type="dxa" w:w="4933"/>
            <w:tcMar>
              <w:top w:w="60" w:type="dxa"/>
              <w:bottom w:w="60" w:type="dxa"/>
              <w:left w:w="100" w:type="dxa"/>
              <w:right w:w="100" w:type="dxa"/>
            </w:tcMar>
          </w:tcPr>
          <w:p>
            <w:r>
              <w:rPr>
                <w:rFonts w:ascii="Calibri" w:hAnsi="Calibri"/>
                <w:b w:val="0"/>
                <w:i w:val="0"/>
                <w:color w:val="5B4B00"/>
                <w:sz w:val="18"/>
                <w:highlight w:val="yellow"/>
              </w:rPr>
              <w:t>z. B. Stammdaten, Kontaktdaten, Nutzungs-/Logdaten</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Kreise betroffener Personen</w:t>
            </w:r>
          </w:p>
        </w:tc>
        <w:tc>
          <w:tcPr>
            <w:tcW w:type="dxa" w:w="4933"/>
            <w:tcMar>
              <w:top w:w="60" w:type="dxa"/>
              <w:bottom w:w="60" w:type="dxa"/>
              <w:left w:w="100" w:type="dxa"/>
              <w:right w:w="100" w:type="dxa"/>
            </w:tcMar>
          </w:tcPr>
          <w:p>
            <w:r>
              <w:rPr>
                <w:rFonts w:ascii="Calibri" w:hAnsi="Calibri"/>
                <w:b w:val="0"/>
                <w:i w:val="0"/>
                <w:color w:val="5B4B00"/>
                <w:sz w:val="18"/>
                <w:highlight w:val="yellow"/>
              </w:rPr>
              <w:t>z. B. Kunden, Mitarbeitende, Interessenten des Verantwortlichen</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Ort der Verarbeitung</w:t>
            </w:r>
          </w:p>
        </w:tc>
        <w:tc>
          <w:tcPr>
            <w:tcW w:type="dxa" w:w="4933"/>
            <w:tcMar>
              <w:top w:w="60" w:type="dxa"/>
              <w:bottom w:w="60" w:type="dxa"/>
              <w:left w:w="100" w:type="dxa"/>
              <w:right w:w="100" w:type="dxa"/>
            </w:tcMar>
          </w:tcPr>
          <w:p>
            <w:r>
              <w:rPr>
                <w:rFonts w:ascii="Calibri" w:hAnsi="Calibri"/>
                <w:b w:val="0"/>
                <w:i w:val="0"/>
                <w:color w:val="0B1026"/>
                <w:sz w:val="18"/>
              </w:rPr>
              <w:t>Europäische Union (siehe Anlage 3)</w:t>
            </w:r>
          </w:p>
        </w:tc>
      </w:tr>
    </w:tbl>
    <w:p>
      <w:pPr>
        <w:spacing w:before="240" w:after="100" w:line="269" w:lineRule="auto"/>
        <w:pBdr>
          <w:top w:val="single" w:sz="10" w:space="6" w:color="0B1026"/>
        </w:pBdr>
      </w:pPr>
      <w:r>
        <w:rPr>
          <w:rFonts w:ascii="Calibri" w:hAnsi="Calibri"/>
          <w:b/>
          <w:i w:val="0"/>
          <w:color w:val="0B1026"/>
          <w:sz w:val="25"/>
        </w:rPr>
        <w:t>Anlage 2 — Technische &amp; organisatorische Maßnahmen (Art. 32 DSGVO)</w:t>
      </w:r>
    </w:p>
    <w:tbl>
      <w:tblPr>
        <w:tblW w:type="auto" w:w="0"/>
        <w:tblLook w:firstColumn="1" w:firstRow="1" w:lastColumn="0" w:lastRow="0" w:noHBand="0" w:noVBand="1" w:val="04A0"/>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4933"/>
        <w:gridCol w:w="4933"/>
      </w:tblGrid>
      <w:tr>
        <w:tc>
          <w:tcPr>
            <w:tcW w:type="dxa" w:w="4933"/>
            <w:tcMar>
              <w:top w:w="60" w:type="dxa"/>
              <w:bottom w:w="60" w:type="dxa"/>
              <w:left w:w="100" w:type="dxa"/>
              <w:right w:w="100" w:type="dxa"/>
            </w:tcMar>
            <w:shd w:val="clear" w:color="auto" w:fill="F4F6FC"/>
          </w:tcPr>
          <w:p>
            <w:r>
              <w:rPr>
                <w:rFonts w:ascii="Calibri" w:hAnsi="Calibri"/>
                <w:b/>
                <w:i w:val="0"/>
                <w:color w:val="0B1026"/>
                <w:sz w:val="18"/>
              </w:rPr>
              <w:t>Vertraulichkeit</w:t>
            </w:r>
          </w:p>
        </w:tc>
        <w:tc>
          <w:tcPr>
            <w:tcW w:type="dxa" w:w="4933"/>
            <w:tcMar>
              <w:top w:w="60" w:type="dxa"/>
              <w:bottom w:w="60" w:type="dxa"/>
              <w:left w:w="100" w:type="dxa"/>
              <w:right w:w="100" w:type="dxa"/>
            </w:tcMar>
          </w:tcPr>
          <w:p>
            <w:r>
              <w:rPr>
                <w:rFonts w:ascii="Calibri" w:hAnsi="Calibri"/>
                <w:b w:val="0"/>
                <w:i w:val="0"/>
                <w:color w:val="0B1026"/>
                <w:sz w:val="18"/>
              </w:rPr>
              <w:t>Individuelle Benutzerkonten mit starken Passwörtern und Zwei-Faktor-Authentifizierung; rollenbasierte Zugriffsrechte nach Need-to-know; Datenbank-Zugriffsschutz auf Zeilenebene (Row Level Security); Tätigkeit aus gesicherter Arbeitsumgebung ohne eigenen Server.</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Integrität</w:t>
            </w:r>
          </w:p>
        </w:tc>
        <w:tc>
          <w:tcPr>
            <w:tcW w:type="dxa" w:w="4933"/>
            <w:tcMar>
              <w:top w:w="60" w:type="dxa"/>
              <w:bottom w:w="60" w:type="dxa"/>
              <w:left w:w="100" w:type="dxa"/>
              <w:right w:w="100" w:type="dxa"/>
            </w:tcMar>
          </w:tcPr>
          <w:p>
            <w:r>
              <w:rPr>
                <w:rFonts w:ascii="Calibri" w:hAnsi="Calibri"/>
                <w:b w:val="0"/>
                <w:i w:val="0"/>
                <w:color w:val="0B1026"/>
                <w:sz w:val="18"/>
              </w:rPr>
              <w:t>Verschlüsselte Übertragung (TLS/HTTPS) und Verschlüsselung im Ruhezustand bei den eingesetzten Diensten; Protokollierung von Änderungen (Aktivitäts-/Audit-Log); Versionsverwaltung des Quellcodes.</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Verfügbarkeit &amp; Belastbarkeit</w:t>
            </w:r>
          </w:p>
        </w:tc>
        <w:tc>
          <w:tcPr>
            <w:tcW w:type="dxa" w:w="4933"/>
            <w:tcMar>
              <w:top w:w="60" w:type="dxa"/>
              <w:bottom w:w="60" w:type="dxa"/>
              <w:left w:w="100" w:type="dxa"/>
              <w:right w:w="100" w:type="dxa"/>
            </w:tcMar>
          </w:tcPr>
          <w:p>
            <w:r>
              <w:rPr>
                <w:rFonts w:ascii="Calibri" w:hAnsi="Calibri"/>
                <w:b w:val="0"/>
                <w:i w:val="0"/>
                <w:color w:val="0B1026"/>
                <w:sz w:val="18"/>
              </w:rPr>
              <w:t>Regelmäßige automatische Backups über die eingesetzten EU-Dienste; Wiederherstellbarkeit nach Vorfällen; gehostete Infrastruktur mit hoher Verfügbarkeit.</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Trennung &amp; Zweckbindung</w:t>
            </w:r>
          </w:p>
        </w:tc>
        <w:tc>
          <w:tcPr>
            <w:tcW w:type="dxa" w:w="4933"/>
            <w:tcMar>
              <w:top w:w="60" w:type="dxa"/>
              <w:bottom w:w="60" w:type="dxa"/>
              <w:left w:w="100" w:type="dxa"/>
              <w:right w:w="100" w:type="dxa"/>
            </w:tcMar>
          </w:tcPr>
          <w:p>
            <w:r>
              <w:rPr>
                <w:rFonts w:ascii="Calibri" w:hAnsi="Calibri"/>
                <w:b w:val="0"/>
                <w:i w:val="0"/>
                <w:color w:val="0B1026"/>
                <w:sz w:val="18"/>
              </w:rPr>
              <w:t>Mandanten-/Projekttrennung; getrennte Umgebungen für Entwicklung und Produktion; Verarbeitung ausschließlich zu den vereinbarten Zwecken.</w:t>
            </w:r>
          </w:p>
        </w:tc>
      </w:tr>
      <w:tr>
        <w:tc>
          <w:tcPr>
            <w:tcW w:type="dxa" w:w="4933"/>
            <w:tcMar>
              <w:top w:w="60" w:type="dxa"/>
              <w:bottom w:w="60" w:type="dxa"/>
              <w:left w:w="100" w:type="dxa"/>
              <w:right w:w="100" w:type="dxa"/>
            </w:tcMar>
            <w:shd w:val="clear" w:color="auto" w:fill="F4F6FC"/>
          </w:tcPr>
          <w:p>
            <w:r>
              <w:rPr>
                <w:rFonts w:ascii="Calibri" w:hAnsi="Calibri"/>
                <w:b/>
                <w:i w:val="0"/>
                <w:color w:val="0B1026"/>
                <w:sz w:val="18"/>
              </w:rPr>
              <w:t>Überprüfung</w:t>
            </w:r>
          </w:p>
        </w:tc>
        <w:tc>
          <w:tcPr>
            <w:tcW w:type="dxa" w:w="4933"/>
            <w:tcMar>
              <w:top w:w="60" w:type="dxa"/>
              <w:bottom w:w="60" w:type="dxa"/>
              <w:left w:w="100" w:type="dxa"/>
              <w:right w:w="100" w:type="dxa"/>
            </w:tcMar>
          </w:tcPr>
          <w:p>
            <w:r>
              <w:rPr>
                <w:rFonts w:ascii="Calibri" w:hAnsi="Calibri"/>
                <w:b w:val="0"/>
                <w:i w:val="0"/>
                <w:color w:val="0B1026"/>
                <w:sz w:val="18"/>
              </w:rPr>
              <w:t>Regelmäßige Kontrolle und Aktualisierung der Maßnahmen sowie der eingesetzten Abhängigkeiten (Updates).</w:t>
            </w:r>
          </w:p>
        </w:tc>
      </w:tr>
    </w:tbl>
    <w:p>
      <w:pPr>
        <w:spacing w:before="40" w:after="40" w:line="269" w:lineRule="auto"/>
      </w:pPr>
      <w:r>
        <w:rPr>
          <w:rFonts w:ascii="Calibri" w:hAnsi="Calibri"/>
          <w:b w:val="0"/>
          <w:i w:val="0"/>
          <w:color w:val="485672"/>
          <w:sz w:val="17"/>
        </w:rPr>
        <w:t>Die konkreten Maßnahmen sind an das jeweilige Projekt anzupassen.</w:t>
      </w:r>
    </w:p>
    <w:p>
      <w:pPr>
        <w:spacing w:before="240" w:after="100" w:line="269" w:lineRule="auto"/>
        <w:pBdr>
          <w:top w:val="single" w:sz="10" w:space="6" w:color="0B1026"/>
        </w:pBdr>
      </w:pPr>
      <w:r>
        <w:rPr>
          <w:rFonts w:ascii="Calibri" w:hAnsi="Calibri"/>
          <w:b/>
          <w:i w:val="0"/>
          <w:color w:val="0B1026"/>
          <w:sz w:val="25"/>
        </w:rPr>
        <w:t>Anlage 3 — Genehmigte Unterauftragnehmer</w:t>
      </w:r>
    </w:p>
    <w:tbl>
      <w:tblPr>
        <w:tblW w:type="auto" w:w="0"/>
        <w:tblLook w:firstColumn="1" w:firstRow="1" w:lastColumn="0" w:lastRow="0" w:noHBand="0" w:noVBand="1" w:val="04A0"/>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2466"/>
        <w:gridCol w:w="2466"/>
        <w:gridCol w:w="2466"/>
        <w:gridCol w:w="2466"/>
      </w:tblGrid>
      <w:tr>
        <w:tc>
          <w:tcPr>
            <w:tcW w:type="dxa" w:w="2466"/>
            <w:tcMar>
              <w:top w:w="60" w:type="dxa"/>
              <w:bottom w:w="60" w:type="dxa"/>
              <w:left w:w="100" w:type="dxa"/>
              <w:right w:w="100" w:type="dxa"/>
            </w:tcMar>
            <w:shd w:val="clear" w:color="auto" w:fill="F4F6FC"/>
          </w:tcPr>
          <w:p>
            <w:r>
              <w:rPr>
                <w:rFonts w:ascii="Calibri" w:hAnsi="Calibri"/>
                <w:b/>
                <w:i w:val="0"/>
                <w:color w:val="0B1026"/>
                <w:sz w:val="18"/>
              </w:rPr>
              <w:t>Unterauftragnehmer</w:t>
            </w:r>
          </w:p>
        </w:tc>
        <w:tc>
          <w:tcPr>
            <w:tcW w:type="dxa" w:w="2466"/>
            <w:tcMar>
              <w:top w:w="60" w:type="dxa"/>
              <w:bottom w:w="60" w:type="dxa"/>
              <w:left w:w="100" w:type="dxa"/>
              <w:right w:w="100" w:type="dxa"/>
            </w:tcMar>
            <w:shd w:val="clear" w:color="auto" w:fill="F4F6FC"/>
          </w:tcPr>
          <w:p>
            <w:r>
              <w:rPr>
                <w:rFonts w:ascii="Calibri" w:hAnsi="Calibri"/>
                <w:b/>
                <w:i w:val="0"/>
                <w:color w:val="0B1026"/>
                <w:sz w:val="18"/>
              </w:rPr>
              <w:t>Leistung</w:t>
            </w:r>
          </w:p>
        </w:tc>
        <w:tc>
          <w:tcPr>
            <w:tcW w:type="dxa" w:w="2466"/>
            <w:tcMar>
              <w:top w:w="60" w:type="dxa"/>
              <w:bottom w:w="60" w:type="dxa"/>
              <w:left w:w="100" w:type="dxa"/>
              <w:right w:w="100" w:type="dxa"/>
            </w:tcMar>
            <w:shd w:val="clear" w:color="auto" w:fill="F4F6FC"/>
          </w:tcPr>
          <w:p>
            <w:r>
              <w:rPr>
                <w:rFonts w:ascii="Calibri" w:hAnsi="Calibri"/>
                <w:b/>
                <w:i w:val="0"/>
                <w:color w:val="0B1026"/>
                <w:sz w:val="18"/>
              </w:rPr>
              <w:t>Ort der Verarbeitung</w:t>
            </w:r>
          </w:p>
        </w:tc>
        <w:tc>
          <w:tcPr>
            <w:tcW w:type="dxa" w:w="2466"/>
            <w:tcMar>
              <w:top w:w="60" w:type="dxa"/>
              <w:bottom w:w="60" w:type="dxa"/>
              <w:left w:w="100" w:type="dxa"/>
              <w:right w:w="100" w:type="dxa"/>
            </w:tcMar>
            <w:shd w:val="clear" w:color="auto" w:fill="F4F6FC"/>
          </w:tcPr>
          <w:p>
            <w:r>
              <w:rPr>
                <w:rFonts w:ascii="Calibri" w:hAnsi="Calibri"/>
                <w:b/>
                <w:i w:val="0"/>
                <w:color w:val="0B1026"/>
                <w:sz w:val="18"/>
              </w:rPr>
              <w:t>Drittland-Grundlage</w:t>
            </w:r>
          </w:p>
        </w:tc>
      </w:tr>
      <w:tr>
        <w:tc>
          <w:tcPr>
            <w:tcW w:type="dxa" w:w="2466"/>
            <w:tcMar>
              <w:top w:w="60" w:type="dxa"/>
              <w:bottom w:w="60" w:type="dxa"/>
              <w:left w:w="100" w:type="dxa"/>
              <w:right w:w="100" w:type="dxa"/>
            </w:tcMar>
          </w:tcPr>
          <w:p>
            <w:r>
              <w:rPr>
                <w:rFonts w:ascii="Calibri" w:hAnsi="Calibri"/>
                <w:b w:val="0"/>
                <w:i w:val="0"/>
                <w:color w:val="0B1026"/>
                <w:sz w:val="18"/>
              </w:rPr>
              <w:t>Supabase (Supabase Inc.)</w:t>
            </w:r>
          </w:p>
        </w:tc>
        <w:tc>
          <w:tcPr>
            <w:tcW w:type="dxa" w:w="2466"/>
            <w:tcMar>
              <w:top w:w="60" w:type="dxa"/>
              <w:bottom w:w="60" w:type="dxa"/>
              <w:left w:w="100" w:type="dxa"/>
              <w:right w:w="100" w:type="dxa"/>
            </w:tcMar>
          </w:tcPr>
          <w:p>
            <w:r>
              <w:rPr>
                <w:rFonts w:ascii="Calibri" w:hAnsi="Calibri"/>
                <w:b w:val="0"/>
                <w:i w:val="0"/>
                <w:color w:val="0B1026"/>
                <w:sz w:val="18"/>
              </w:rPr>
              <w:t>Datenbank, Authentifizierung, Speicher</w:t>
            </w:r>
          </w:p>
        </w:tc>
        <w:tc>
          <w:tcPr>
            <w:tcW w:type="dxa" w:w="2466"/>
            <w:tcMar>
              <w:top w:w="60" w:type="dxa"/>
              <w:bottom w:w="60" w:type="dxa"/>
              <w:left w:w="100" w:type="dxa"/>
              <w:right w:w="100" w:type="dxa"/>
            </w:tcMar>
          </w:tcPr>
          <w:p>
            <w:r>
              <w:rPr>
                <w:rFonts w:ascii="Calibri" w:hAnsi="Calibri"/>
                <w:b w:val="0"/>
                <w:i w:val="0"/>
                <w:color w:val="0B1026"/>
                <w:sz w:val="18"/>
              </w:rPr>
              <w:t>EU (Frankfurt, Deutschland)</w:t>
            </w:r>
          </w:p>
        </w:tc>
        <w:tc>
          <w:tcPr>
            <w:tcW w:type="dxa" w:w="2466"/>
            <w:tcMar>
              <w:top w:w="60" w:type="dxa"/>
              <w:bottom w:w="60" w:type="dxa"/>
              <w:left w:w="100" w:type="dxa"/>
              <w:right w:w="100" w:type="dxa"/>
            </w:tcMar>
          </w:tcPr>
          <w:p>
            <w:r>
              <w:rPr>
                <w:rFonts w:ascii="Calibri" w:hAnsi="Calibri"/>
                <w:b w:val="0"/>
                <w:i w:val="0"/>
                <w:color w:val="0B1026"/>
                <w:sz w:val="18"/>
              </w:rPr>
              <w:t>Keine Übermittlung in Drittland (EU-Region)</w:t>
            </w:r>
          </w:p>
        </w:tc>
      </w:tr>
      <w:tr>
        <w:tc>
          <w:tcPr>
            <w:tcW w:type="dxa" w:w="2466"/>
            <w:tcMar>
              <w:top w:w="60" w:type="dxa"/>
              <w:bottom w:w="60" w:type="dxa"/>
              <w:left w:w="100" w:type="dxa"/>
              <w:right w:w="100" w:type="dxa"/>
            </w:tcMar>
          </w:tcPr>
          <w:p>
            <w:r>
              <w:rPr>
                <w:rFonts w:ascii="Calibri" w:hAnsi="Calibri"/>
                <w:b w:val="0"/>
                <w:i w:val="0"/>
                <w:color w:val="0B1026"/>
                <w:sz w:val="18"/>
              </w:rPr>
              <w:t>Netlify (Netlify, Inc.)</w:t>
            </w:r>
          </w:p>
        </w:tc>
        <w:tc>
          <w:tcPr>
            <w:tcW w:type="dxa" w:w="2466"/>
            <w:tcMar>
              <w:top w:w="60" w:type="dxa"/>
              <w:bottom w:w="60" w:type="dxa"/>
              <w:left w:w="100" w:type="dxa"/>
              <w:right w:w="100" w:type="dxa"/>
            </w:tcMar>
          </w:tcPr>
          <w:p>
            <w:r>
              <w:rPr>
                <w:rFonts w:ascii="Calibri" w:hAnsi="Calibri"/>
                <w:b w:val="0"/>
                <w:i w:val="0"/>
                <w:color w:val="0B1026"/>
                <w:sz w:val="18"/>
              </w:rPr>
              <w:t>Hosting, CDN, Formulare</w:t>
            </w:r>
          </w:p>
        </w:tc>
        <w:tc>
          <w:tcPr>
            <w:tcW w:type="dxa" w:w="2466"/>
            <w:tcMar>
              <w:top w:w="60" w:type="dxa"/>
              <w:bottom w:w="60" w:type="dxa"/>
              <w:left w:w="100" w:type="dxa"/>
              <w:right w:w="100" w:type="dxa"/>
            </w:tcMar>
          </w:tcPr>
          <w:p>
            <w:r>
              <w:rPr>
                <w:rFonts w:ascii="Calibri" w:hAnsi="Calibri"/>
                <w:b w:val="0"/>
                <w:i w:val="0"/>
                <w:color w:val="0B1026"/>
                <w:sz w:val="18"/>
              </w:rPr>
              <w:t>EU / USA</w:t>
            </w:r>
          </w:p>
        </w:tc>
        <w:tc>
          <w:tcPr>
            <w:tcW w:type="dxa" w:w="2466"/>
            <w:tcMar>
              <w:top w:w="60" w:type="dxa"/>
              <w:bottom w:w="60" w:type="dxa"/>
              <w:left w:w="100" w:type="dxa"/>
              <w:right w:w="100" w:type="dxa"/>
            </w:tcMar>
          </w:tcPr>
          <w:p>
            <w:r>
              <w:rPr>
                <w:rFonts w:ascii="Calibri" w:hAnsi="Calibri"/>
                <w:b w:val="0"/>
                <w:i w:val="0"/>
                <w:color w:val="0B1026"/>
                <w:sz w:val="18"/>
              </w:rPr>
              <w:t>EU-US Data Privacy Framework + EU-Standardvertragsklauseln</w:t>
            </w:r>
          </w:p>
        </w:tc>
      </w:tr>
      <w:tr>
        <w:tc>
          <w:tcPr>
            <w:tcW w:type="dxa" w:w="2466"/>
            <w:tcMar>
              <w:top w:w="60" w:type="dxa"/>
              <w:bottom w:w="60" w:type="dxa"/>
              <w:left w:w="100" w:type="dxa"/>
              <w:right w:w="100" w:type="dxa"/>
            </w:tcMar>
          </w:tcPr>
          <w:p>
            <w:r>
              <w:rPr>
                <w:rFonts w:ascii="Calibri" w:hAnsi="Calibri"/>
                <w:b w:val="0"/>
                <w:i w:val="0"/>
                <w:color w:val="5B4B00"/>
                <w:sz w:val="18"/>
                <w:highlight w:val="yellow"/>
              </w:rPr>
              <w:t>ggf. weiterer Dienst</w:t>
            </w:r>
          </w:p>
        </w:tc>
        <w:tc>
          <w:tcPr>
            <w:tcW w:type="dxa" w:w="2466"/>
            <w:tcMar>
              <w:top w:w="60" w:type="dxa"/>
              <w:bottom w:w="60" w:type="dxa"/>
              <w:left w:w="100" w:type="dxa"/>
              <w:right w:w="100" w:type="dxa"/>
            </w:tcMar>
          </w:tcPr>
          <w:p>
            <w:r>
              <w:rPr>
                <w:rFonts w:ascii="Calibri" w:hAnsi="Calibri"/>
                <w:b w:val="0"/>
                <w:i w:val="0"/>
                <w:color w:val="5B4B00"/>
                <w:sz w:val="18"/>
                <w:highlight w:val="yellow"/>
              </w:rPr>
              <w:t>…</w:t>
            </w:r>
          </w:p>
        </w:tc>
        <w:tc>
          <w:tcPr>
            <w:tcW w:type="dxa" w:w="2466"/>
            <w:tcMar>
              <w:top w:w="60" w:type="dxa"/>
              <w:bottom w:w="60" w:type="dxa"/>
              <w:left w:w="100" w:type="dxa"/>
              <w:right w:w="100" w:type="dxa"/>
            </w:tcMar>
          </w:tcPr>
          <w:p>
            <w:r>
              <w:rPr>
                <w:rFonts w:ascii="Calibri" w:hAnsi="Calibri"/>
                <w:b w:val="0"/>
                <w:i w:val="0"/>
                <w:color w:val="5B4B00"/>
                <w:sz w:val="18"/>
                <w:highlight w:val="yellow"/>
              </w:rPr>
              <w:t>…</w:t>
            </w:r>
          </w:p>
        </w:tc>
        <w:tc>
          <w:tcPr>
            <w:tcW w:type="dxa" w:w="2466"/>
            <w:tcMar>
              <w:top w:w="60" w:type="dxa"/>
              <w:bottom w:w="60" w:type="dxa"/>
              <w:left w:w="100" w:type="dxa"/>
              <w:right w:w="100" w:type="dxa"/>
            </w:tcMar>
          </w:tcPr>
          <w:p>
            <w:r>
              <w:rPr>
                <w:rFonts w:ascii="Calibri" w:hAnsi="Calibri"/>
                <w:b w:val="0"/>
                <w:i w:val="0"/>
                <w:color w:val="5B4B00"/>
                <w:sz w:val="18"/>
                <w:highlight w:val="yellow"/>
              </w:rPr>
              <w:t>…</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4933"/>
        <w:gridCol w:w="4933"/>
      </w:tblGrid>
      <w:tr>
        <w:tc>
          <w:tcPr>
            <w:tcW w:type="dxa" w:w="4933"/>
            <w:tcMar>
              <w:top w:w="0" w:type="dxa"/>
              <w:bottom w:w="0" w:type="dxa"/>
              <w:left w:w="0" w:type="dxa"/>
              <w:right w:w="200" w:type="dxa"/>
            </w:tcMar>
          </w:tcPr>
          <w:p>
            <w:r>
              <w:rPr>
                <w:rFonts w:ascii="Calibri" w:hAnsi="Calibri"/>
                <w:b w:val="0"/>
                <w:i w:val="0"/>
                <w:color w:val="485672"/>
                <w:sz w:val="18"/>
              </w:rPr>
              <w:t>Ort, Datum</w:t>
            </w:r>
          </w:p>
          <w:p/>
          <w:p/>
          <w:p>
            <w:pPr>
              <w:pBdr>
                <w:top w:val="single" w:sz="8" w:space="3" w:color="0B1026"/>
              </w:pBdr>
            </w:pPr>
            <w:r>
              <w:rPr>
                <w:rFonts w:ascii="Calibri" w:hAnsi="Calibri"/>
                <w:b w:val="0"/>
                <w:i w:val="0"/>
                <w:color w:val="5B4B00"/>
                <w:sz w:val="17"/>
                <w:highlight w:val="yellow"/>
              </w:rPr>
              <w:t>Verantwortlicher (Kunde)</w:t>
            </w:r>
          </w:p>
        </w:tc>
        <w:tc>
          <w:tcPr>
            <w:tcW w:type="dxa" w:w="4933"/>
            <w:tcMar>
              <w:top w:w="0" w:type="dxa"/>
              <w:bottom w:w="0" w:type="dxa"/>
              <w:left w:w="0" w:type="dxa"/>
              <w:right w:w="200" w:type="dxa"/>
            </w:tcMar>
          </w:tcPr>
          <w:p>
            <w:r>
              <w:rPr>
                <w:rFonts w:ascii="Calibri" w:hAnsi="Calibri"/>
                <w:b w:val="0"/>
                <w:i w:val="0"/>
                <w:color w:val="485672"/>
                <w:sz w:val="18"/>
              </w:rPr>
              <w:t>Ort, Datum</w:t>
            </w:r>
          </w:p>
          <w:p/>
          <w:p/>
          <w:p>
            <w:pPr>
              <w:pBdr>
                <w:top w:val="single" w:sz="8" w:space="3" w:color="0B1026"/>
              </w:pBdr>
            </w:pPr>
            <w:r>
              <w:rPr>
                <w:rFonts w:ascii="Calibri" w:hAnsi="Calibri"/>
                <w:b w:val="0"/>
                <w:i w:val="0"/>
                <w:color w:val="485672"/>
                <w:sz w:val="17"/>
              </w:rPr>
              <w:t>I &amp; R Development GbR — Auftragsverarbeiter</w:t>
            </w:r>
          </w:p>
        </w:tc>
      </w:tr>
    </w:tbl>
    <w:tbl>
      <w:tblPr>
        <w:tblW w:type="auto" w:w="0"/>
        <w:tblLook w:firstColumn="1" w:firstRow="1" w:lastColumn="0" w:lastRow="0" w:noHBand="0" w:noVBand="1" w:val="04A0"/>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9866"/>
      </w:tblGrid>
      <w:tr>
        <w:tc>
          <w:tcPr>
            <w:tcW w:type="dxa" w:w="9866"/>
            <w:shd w:val="clear" w:color="auto" w:fill="F4F6FC"/>
            <w:tcMar>
              <w:top w:w="80" w:type="dxa"/>
              <w:bottom w:w="80" w:type="dxa"/>
              <w:left w:w="120" w:type="dxa"/>
              <w:right w:w="120" w:type="dxa"/>
            </w:tcMar>
          </w:tcPr>
          <w:p>
            <w:r>
              <w:rPr>
                <w:rFonts w:ascii="Calibri" w:hAnsi="Calibri"/>
                <w:b w:val="0"/>
                <w:i/>
                <w:color w:val="485672"/>
                <w:sz w:val="17"/>
              </w:rPr>
              <w:t xml:space="preserve">⚖️ </w:t>
            </w:r>
            <w:r>
              <w:rPr>
                <w:rFonts w:ascii="Calibri" w:hAnsi="Calibri"/>
                <w:b/>
                <w:i/>
                <w:color w:val="485672"/>
                <w:sz w:val="17"/>
              </w:rPr>
              <w:t>Muster ohne Gewähr — keine Rechtsberatung.</w:t>
            </w:r>
            <w:r>
              <w:rPr>
                <w:rFonts w:ascii="Calibri" w:hAnsi="Calibri"/>
                <w:b w:val="0"/>
                <w:i/>
                <w:color w:val="485672"/>
                <w:sz w:val="17"/>
              </w:rPr>
              <w:t xml:space="preserve"> Anlagen 1–3 für jedes Projekt konkret ausfüllen und die Unterauftragnehmer-Liste aktuell halten. Vor Verwendung datenschutzrechtlich prüfen lassen.</w:t>
            </w:r>
          </w:p>
        </w:tc>
      </w:tr>
    </w:tbl>
    <w:sectPr w:rsidR="00FC693F" w:rsidRPr="0006063C" w:rsidSect="00034616">
      <w:headerReference w:type="default" r:id="rId9"/>
      <w:footerReference w:type="default" r:id="rId10"/>
      <w:pgSz w:w="11906" w:h="16838"/>
      <w:pgMar w:top="907" w:right="1020" w:bottom="907" w:left="1020" w:header="567"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7E8AA6"/>
        <w:sz w:val="15"/>
      </w:rPr>
      <w:t xml:space="preserve">I &amp; R Development GbR · Findorffstraße 60, 28215 Bremen · kontakt@i-r-dev.de · §19 UStG · </w:t>
    </w:r>
    <w:r>
      <w:rPr>
        <w:rFonts w:ascii="Calibri" w:hAnsi="Calibri"/>
        <w:b w:val="0"/>
        <w:i w:val="0"/>
        <w:color w:val="7E8AA6"/>
        <w:sz w:val="15"/>
      </w:rPr>
      <w:t xml:space="preserve">Seite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6" w:color="8B5CF6"/>
      </w:pBdr>
    </w:pPr>
    <w:r>
      <w:drawing>
        <wp:inline xmlns:a="http://schemas.openxmlformats.org/drawingml/2006/main" xmlns:pic="http://schemas.openxmlformats.org/drawingml/2006/picture">
          <wp:extent cx="1728000" cy="355221"/>
          <wp:docPr id="1" name="Picture 1"/>
          <wp:cNvGraphicFramePr>
            <a:graphicFrameLocks noChangeAspect="1"/>
          </wp:cNvGraphicFramePr>
          <a:graphic>
            <a:graphicData uri="http://schemas.openxmlformats.org/drawingml/2006/picture">
              <pic:pic>
                <pic:nvPicPr>
                  <pic:cNvPr id="0" name="logo-lockup.png"/>
                  <pic:cNvPicPr/>
                </pic:nvPicPr>
                <pic:blipFill>
                  <a:blip r:embed="rId1"/>
                  <a:stretch>
                    <a:fillRect/>
                  </a:stretch>
                </pic:blipFill>
                <pic:spPr>
                  <a:xfrm>
                    <a:off x="0" y="0"/>
                    <a:ext cx="1728000" cy="355221"/>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B10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