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69" w:lineRule="auto"/>
      </w:pPr>
      <w:r>
        <w:rPr>
          <w:rFonts w:ascii="Calibri" w:hAnsi="Calibri"/>
          <w:b/>
          <w:i w:val="0"/>
          <w:color w:val="0B1026"/>
          <w:sz w:val="44"/>
        </w:rPr>
        <w:t>Dienstleistungsvertrag</w:t>
      </w:r>
    </w:p>
    <w:p>
      <w:pPr>
        <w:spacing w:before="0" w:after="160" w:line="269" w:lineRule="auto"/>
      </w:pPr>
      <w:r>
        <w:rPr>
          <w:rFonts w:ascii="Calibri" w:hAnsi="Calibri"/>
          <w:b w:val="0"/>
          <w:i w:val="0"/>
          <w:color w:val="485672"/>
          <w:sz w:val="23"/>
        </w:rPr>
        <w:t>über IT-Beratung und Entwicklungsleistungen nach Aufwand</w:t>
      </w:r>
    </w:p>
    <w:tbl>
      <w:tblPr>
        <w:tblW w:type="auto" w:w="0"/>
        <w:tblLook w:firstColumn="1" w:firstRow="1" w:lastColumn="0" w:lastRow="0" w:noHBand="0" w:noVBand="1" w:val="04A0"/>
        <w:jc w:val="center"/>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4933"/>
        <w:gridCol w:w="4933"/>
      </w:tblGrid>
      <w:tr>
        <w:tc>
          <w:tcPr>
            <w:tcW w:type="dxa" w:w="4933"/>
            <w:shd w:val="clear" w:color="auto" w:fill="F4F6FC"/>
            <w:tcMar>
              <w:top w:w="60" w:type="dxa"/>
              <w:bottom w:w="60" w:type="dxa"/>
              <w:left w:w="100" w:type="dxa"/>
              <w:right w:w="100" w:type="dxa"/>
            </w:tcMar>
          </w:tcPr>
          <w:p>
            <w:pPr>
              <w:spacing w:after="80"/>
            </w:pPr>
            <w:r>
              <w:rPr>
                <w:rFonts w:ascii="Calibri" w:hAnsi="Calibri"/>
                <w:b/>
                <w:i w:val="0"/>
                <w:color w:val="4F46E5"/>
                <w:sz w:val="16"/>
              </w:rPr>
              <w:t>AUFTRAGNEHMER</w:t>
            </w:r>
          </w:p>
          <w:p>
            <w:r>
              <w:rPr>
                <w:rFonts w:ascii="Calibri" w:hAnsi="Calibri"/>
                <w:b/>
                <w:i w:val="0"/>
                <w:color w:val="0B1026"/>
                <w:sz w:val="19"/>
              </w:rPr>
              <w:t>I &amp; R Development GbR</w:t>
            </w:r>
            <w:r>
              <w:br/>
            </w:r>
            <w:r>
              <w:rPr>
                <w:rFonts w:ascii="Calibri" w:hAnsi="Calibri"/>
                <w:b w:val="0"/>
                <w:i w:val="0"/>
                <w:color w:val="0B1026"/>
                <w:sz w:val="19"/>
              </w:rPr>
              <w:t>Ibrahim Hasan &amp; Ram Mohamad</w:t>
            </w:r>
            <w:r>
              <w:br/>
            </w:r>
            <w:r>
              <w:rPr>
                <w:rFonts w:ascii="Calibri" w:hAnsi="Calibri"/>
                <w:b w:val="0"/>
                <w:i w:val="0"/>
                <w:color w:val="0B1026"/>
                <w:sz w:val="19"/>
              </w:rPr>
              <w:t>Findorffstraße 60, 28215 Bremen</w:t>
            </w:r>
            <w:r>
              <w:br/>
            </w:r>
            <w:r>
              <w:rPr>
                <w:rFonts w:ascii="Calibri" w:hAnsi="Calibri"/>
                <w:b w:val="0"/>
                <w:i w:val="0"/>
                <w:color w:val="0B1026"/>
                <w:sz w:val="19"/>
              </w:rPr>
              <w:t xml:space="preserve">kontakt@i-r-dev.de </w:t>
            </w:r>
          </w:p>
        </w:tc>
        <w:tc>
          <w:tcPr>
            <w:tcW w:type="dxa" w:w="4933"/>
            <w:shd w:val="clear" w:color="auto" w:fill="F4F6FC"/>
            <w:tcMar>
              <w:top w:w="60" w:type="dxa"/>
              <w:bottom w:w="60" w:type="dxa"/>
              <w:left w:w="100" w:type="dxa"/>
              <w:right w:w="100" w:type="dxa"/>
            </w:tcMar>
          </w:tcPr>
          <w:p>
            <w:pPr>
              <w:spacing w:after="80"/>
            </w:pPr>
            <w:r>
              <w:rPr>
                <w:rFonts w:ascii="Calibri" w:hAnsi="Calibri"/>
                <w:b/>
                <w:i w:val="0"/>
                <w:color w:val="4F46E5"/>
                <w:sz w:val="16"/>
              </w:rPr>
              <w:t>AUFTRAGGEBER</w:t>
            </w:r>
          </w:p>
          <w:p>
            <w:r>
              <w:rPr>
                <w:rFonts w:ascii="Calibri" w:hAnsi="Calibri"/>
                <w:b/>
                <w:i w:val="0"/>
                <w:color w:val="5B4B00"/>
                <w:sz w:val="19"/>
                <w:highlight w:val="yellow"/>
              </w:rPr>
              <w:t>Firma / Name</w:t>
            </w:r>
            <w:r>
              <w:br/>
            </w:r>
            <w:r>
              <w:rPr>
                <w:rFonts w:ascii="Calibri" w:hAnsi="Calibri"/>
                <w:b w:val="0"/>
                <w:i w:val="0"/>
                <w:color w:val="5B4B00"/>
                <w:sz w:val="19"/>
                <w:highlight w:val="yellow"/>
              </w:rPr>
              <w:t>vertreten durch</w:t>
            </w:r>
            <w:r>
              <w:br/>
            </w:r>
            <w:r>
              <w:rPr>
                <w:rFonts w:ascii="Calibri" w:hAnsi="Calibri"/>
                <w:b w:val="0"/>
                <w:i w:val="0"/>
                <w:color w:val="5B4B00"/>
                <w:sz w:val="19"/>
                <w:highlight w:val="yellow"/>
              </w:rPr>
              <w:t>Straße, PLZ Ort</w:t>
            </w:r>
            <w:r>
              <w:br/>
            </w:r>
            <w:r>
              <w:rPr>
                <w:rFonts w:ascii="Calibri" w:hAnsi="Calibri"/>
                <w:b w:val="0"/>
                <w:i w:val="0"/>
                <w:color w:val="5B4B00"/>
                <w:sz w:val="19"/>
                <w:highlight w:val="yellow"/>
              </w:rPr>
              <w:t>E-Mail</w:t>
            </w:r>
            <w:r>
              <w:rPr>
                <w:rFonts w:ascii="Calibri" w:hAnsi="Calibri"/>
                <w:b w:val="0"/>
                <w:i w:val="0"/>
                <w:color w:val="0B1026"/>
                <w:sz w:val="19"/>
              </w:rPr>
              <w:t xml:space="preserve"> </w:t>
            </w:r>
          </w:p>
        </w:tc>
      </w:tr>
    </w:tbl>
    <w:p>
      <w:pPr>
        <w:spacing w:before="40" w:after="80" w:line="269" w:lineRule="auto"/>
        <w:jc w:val="center"/>
      </w:pPr>
      <w:r>
        <w:rPr>
          <w:rFonts w:ascii="Calibri" w:hAnsi="Calibri"/>
          <w:b w:val="0"/>
          <w:i/>
          <w:color w:val="485672"/>
          <w:sz w:val="19"/>
        </w:rPr>
        <w:t>— schließen folgenden Dienstleistungsvertrag:</w:t>
      </w:r>
    </w:p>
    <w:p>
      <w:pPr>
        <w:spacing w:before="200" w:after="80" w:line="269" w:lineRule="auto"/>
        <w:pBdr>
          <w:bottom w:val="single" w:sz="6" w:space="3" w:color="D7DCEA"/>
        </w:pBdr>
      </w:pPr>
      <w:r>
        <w:rPr>
          <w:rFonts w:ascii="Calibri" w:hAnsi="Calibri"/>
          <w:b/>
          <w:i w:val="0"/>
          <w:color w:val="4F46E5"/>
          <w:sz w:val="24"/>
        </w:rPr>
        <w:t xml:space="preserve">§ 1  </w:t>
      </w:r>
      <w:r>
        <w:rPr>
          <w:rFonts w:ascii="Calibri" w:hAnsi="Calibri"/>
          <w:b/>
          <w:i w:val="0"/>
          <w:color w:val="0B1026"/>
          <w:sz w:val="24"/>
        </w:rPr>
        <w:t>Vertragsgegenstand</w:t>
      </w:r>
    </w:p>
    <w:p>
      <w:pPr>
        <w:spacing w:before="40" w:after="120" w:line="269" w:lineRule="auto"/>
      </w:pPr>
      <w:r>
        <w:rPr>
          <w:rFonts w:ascii="Calibri" w:hAnsi="Calibri"/>
          <w:b w:val="0"/>
          <w:i w:val="0"/>
          <w:color w:val="0B1026"/>
          <w:sz w:val="21"/>
        </w:rPr>
        <w:t xml:space="preserve">(1) Der Auftragnehmer erbringt für den Auftraggeber Dienstleistungen im Bereich </w:t>
      </w:r>
      <w:r>
        <w:rPr>
          <w:rFonts w:ascii="Calibri" w:hAnsi="Calibri"/>
          <w:b w:val="0"/>
          <w:i w:val="0"/>
          <w:color w:val="5B4B00"/>
          <w:sz w:val="21"/>
          <w:highlight w:val="yellow"/>
        </w:rPr>
        <w:t>IT-Beratung, Softwareentwicklung, Automatisierung</w:t>
      </w:r>
      <w:r>
        <w:rPr>
          <w:rFonts w:ascii="Calibri" w:hAnsi="Calibri"/>
          <w:b w:val="0"/>
          <w:i w:val="0"/>
          <w:color w:val="0B1026"/>
          <w:sz w:val="21"/>
        </w:rPr>
        <w:t xml:space="preserve"> nach Aufwand.</w:t>
      </w:r>
    </w:p>
    <w:p>
      <w:pPr>
        <w:spacing w:before="40" w:after="120" w:line="269" w:lineRule="auto"/>
      </w:pPr>
      <w:r>
        <w:rPr>
          <w:rFonts w:ascii="Calibri" w:hAnsi="Calibri"/>
          <w:b w:val="0"/>
          <w:i w:val="0"/>
          <w:color w:val="0B1026"/>
          <w:sz w:val="21"/>
        </w:rPr>
        <w:t>(2) Es handelt sich um einen Dienstvertrag (§ 611 BGB). Ein bestimmter Erfolg wird nicht geschuldet; der Auftragnehmer wird mit der Sorgfalt eines ordentlichen Fachmanns tätig. Soll ein konkretes Werk mit Abnahme geschuldet sein, ist hierfür ein Werkvertrag zu schließen.</w:t>
      </w:r>
    </w:p>
    <w:p>
      <w:pPr>
        <w:spacing w:before="200" w:after="80" w:line="269" w:lineRule="auto"/>
        <w:pBdr>
          <w:bottom w:val="single" w:sz="6" w:space="3" w:color="D7DCEA"/>
        </w:pBdr>
      </w:pPr>
      <w:r>
        <w:rPr>
          <w:rFonts w:ascii="Calibri" w:hAnsi="Calibri"/>
          <w:b/>
          <w:i w:val="0"/>
          <w:color w:val="4F46E5"/>
          <w:sz w:val="24"/>
        </w:rPr>
        <w:t xml:space="preserve">§ 2  </w:t>
      </w:r>
      <w:r>
        <w:rPr>
          <w:rFonts w:ascii="Calibri" w:hAnsi="Calibri"/>
          <w:b/>
          <w:i w:val="0"/>
          <w:color w:val="0B1026"/>
          <w:sz w:val="24"/>
        </w:rPr>
        <w:t>Leistungserbringung</w:t>
      </w:r>
    </w:p>
    <w:p>
      <w:pPr>
        <w:spacing w:before="40" w:after="120" w:line="269" w:lineRule="auto"/>
      </w:pPr>
      <w:r>
        <w:rPr>
          <w:rFonts w:ascii="Calibri" w:hAnsi="Calibri"/>
          <w:b w:val="0"/>
          <w:i w:val="0"/>
          <w:color w:val="0B1026"/>
          <w:sz w:val="21"/>
        </w:rPr>
        <w:t>Der Auftragnehmer ist in der Wahl von Zeit, Ort und Mitteln frei und nicht weisungsgebunden im Sinne eines Arbeitsverhältnisses. Die Leistung wird remote oder nach Absprache erbracht. Der Auftragnehmer darf geeignete Dritte hinzuziehen.</w:t>
      </w:r>
    </w:p>
    <w:p>
      <w:pPr>
        <w:spacing w:before="200" w:after="80" w:line="269" w:lineRule="auto"/>
        <w:pBdr>
          <w:bottom w:val="single" w:sz="6" w:space="3" w:color="D7DCEA"/>
        </w:pBdr>
      </w:pPr>
      <w:r>
        <w:rPr>
          <w:rFonts w:ascii="Calibri" w:hAnsi="Calibri"/>
          <w:b/>
          <w:i w:val="0"/>
          <w:color w:val="4F46E5"/>
          <w:sz w:val="24"/>
        </w:rPr>
        <w:t xml:space="preserve">§ 3  </w:t>
      </w:r>
      <w:r>
        <w:rPr>
          <w:rFonts w:ascii="Calibri" w:hAnsi="Calibri"/>
          <w:b/>
          <w:i w:val="0"/>
          <w:color w:val="0B1026"/>
          <w:sz w:val="24"/>
        </w:rPr>
        <w:t>Vergütung &amp; Abrechnung</w:t>
      </w:r>
    </w:p>
    <w:p>
      <w:pPr>
        <w:spacing w:before="40" w:after="120" w:line="269" w:lineRule="auto"/>
      </w:pPr>
      <w:r>
        <w:rPr>
          <w:rFonts w:ascii="Calibri" w:hAnsi="Calibri"/>
          <w:b w:val="0"/>
          <w:i w:val="0"/>
          <w:color w:val="0B1026"/>
          <w:sz w:val="21"/>
        </w:rPr>
        <w:t xml:space="preserve">(1) Die Vergütung beträgt </w:t>
      </w:r>
      <w:r>
        <w:rPr>
          <w:rFonts w:ascii="Calibri" w:hAnsi="Calibri"/>
          <w:b w:val="0"/>
          <w:i w:val="0"/>
          <w:color w:val="5B4B00"/>
          <w:sz w:val="21"/>
          <w:highlight w:val="yellow"/>
        </w:rPr>
        <w:t>75,00 €</w:t>
      </w:r>
      <w:r>
        <w:rPr>
          <w:rFonts w:ascii="Calibri" w:hAnsi="Calibri"/>
          <w:b w:val="0"/>
          <w:i w:val="0"/>
          <w:color w:val="0B1026"/>
          <w:sz w:val="21"/>
        </w:rPr>
        <w:t xml:space="preserve"> je Stunde (alternativ Tagessatz </w:t>
      </w:r>
      <w:r>
        <w:rPr>
          <w:rFonts w:ascii="Calibri" w:hAnsi="Calibri"/>
          <w:b w:val="0"/>
          <w:i w:val="0"/>
          <w:color w:val="5B4B00"/>
          <w:sz w:val="21"/>
          <w:highlight w:val="yellow"/>
        </w:rPr>
        <w:t>600,00 €</w:t>
      </w:r>
      <w:r>
        <w:rPr>
          <w:rFonts w:ascii="Calibri" w:hAnsi="Calibri"/>
          <w:b w:val="0"/>
          <w:i w:val="0"/>
          <w:color w:val="0B1026"/>
          <w:sz w:val="21"/>
        </w:rPr>
        <w:t>).</w:t>
      </w:r>
    </w:p>
    <w:p>
      <w:pPr>
        <w:spacing w:before="40" w:after="120" w:line="269" w:lineRule="auto"/>
      </w:pPr>
      <w:r>
        <w:rPr>
          <w:rFonts w:ascii="Calibri" w:hAnsi="Calibri"/>
          <w:b w:val="0"/>
          <w:i w:val="0"/>
          <w:color w:val="0B1026"/>
          <w:sz w:val="21"/>
        </w:rPr>
        <w:t xml:space="preserve">(2) Die Abrechnung erfolgt </w:t>
      </w:r>
      <w:r>
        <w:rPr>
          <w:rFonts w:ascii="Calibri" w:hAnsi="Calibri"/>
          <w:b w:val="0"/>
          <w:i w:val="0"/>
          <w:color w:val="5B4B00"/>
          <w:sz w:val="21"/>
          <w:highlight w:val="yellow"/>
        </w:rPr>
        <w:t>monatlich</w:t>
      </w:r>
      <w:r>
        <w:rPr>
          <w:rFonts w:ascii="Calibri" w:hAnsi="Calibri"/>
          <w:b w:val="0"/>
          <w:i w:val="0"/>
          <w:color w:val="0B1026"/>
          <w:sz w:val="21"/>
        </w:rPr>
        <w:t xml:space="preserve"> auf Basis eines Tätigkeitsnachweises. Zahlungsziel 14 Tage. Reisezeiten und Auslagen werden nach Absprache erstattet.</w:t>
      </w:r>
    </w:p>
    <w:p>
      <w:pPr>
        <w:spacing w:before="40" w:after="120" w:line="269" w:lineRule="auto"/>
      </w:pPr>
      <w:r>
        <w:rPr>
          <w:rFonts w:ascii="Calibri" w:hAnsi="Calibri"/>
          <w:b w:val="0"/>
          <w:i w:val="0"/>
          <w:color w:val="0B1026"/>
          <w:sz w:val="21"/>
        </w:rPr>
        <w:t xml:space="preserve">(3) Gemäß </w:t>
      </w:r>
      <w:r>
        <w:rPr>
          <w:rFonts w:ascii="Calibri" w:hAnsi="Calibri"/>
          <w:b/>
          <w:i w:val="0"/>
          <w:color w:val="0B1026"/>
          <w:sz w:val="21"/>
        </w:rPr>
        <w:t>§ 19 UStG</w:t>
      </w:r>
      <w:r>
        <w:rPr>
          <w:rFonts w:ascii="Calibri" w:hAnsi="Calibri"/>
          <w:b w:val="0"/>
          <w:i w:val="0"/>
          <w:color w:val="0B1026"/>
          <w:sz w:val="21"/>
        </w:rPr>
        <w:t xml:space="preserve"> wird keine Umsatzsteuer berechnet (Kleinunternehmerregelung).</w:t>
      </w:r>
    </w:p>
    <w:p>
      <w:pPr>
        <w:spacing w:before="200" w:after="80" w:line="269" w:lineRule="auto"/>
        <w:pBdr>
          <w:bottom w:val="single" w:sz="6" w:space="3" w:color="D7DCEA"/>
        </w:pBdr>
      </w:pPr>
      <w:r>
        <w:rPr>
          <w:rFonts w:ascii="Calibri" w:hAnsi="Calibri"/>
          <w:b/>
          <w:i w:val="0"/>
          <w:color w:val="4F46E5"/>
          <w:sz w:val="24"/>
        </w:rPr>
        <w:t xml:space="preserve">§ 4  </w:t>
      </w:r>
      <w:r>
        <w:rPr>
          <w:rFonts w:ascii="Calibri" w:hAnsi="Calibri"/>
          <w:b/>
          <w:i w:val="0"/>
          <w:color w:val="0B1026"/>
          <w:sz w:val="24"/>
        </w:rPr>
        <w:t>Mitwirkung des Auftraggebers</w:t>
      </w:r>
    </w:p>
    <w:p>
      <w:pPr>
        <w:spacing w:before="40" w:after="120" w:line="269" w:lineRule="auto"/>
      </w:pPr>
      <w:r>
        <w:rPr>
          <w:rFonts w:ascii="Calibri" w:hAnsi="Calibri"/>
          <w:b w:val="0"/>
          <w:i w:val="0"/>
          <w:color w:val="0B1026"/>
          <w:sz w:val="21"/>
        </w:rPr>
        <w:t>Der Auftraggeber stellt rechtzeitig Informationen, Zugänge und Ansprechpartner bereit und trifft erforderliche Entscheidungen zeitnah. Verzögerungen aus der Sphäre des Auftraggebers gehen nicht zu Lasten des Auftragnehmers.</w:t>
      </w:r>
    </w:p>
    <w:p>
      <w:pPr>
        <w:spacing w:before="200" w:after="80" w:line="269" w:lineRule="auto"/>
        <w:pBdr>
          <w:bottom w:val="single" w:sz="6" w:space="3" w:color="D7DCEA"/>
        </w:pBdr>
      </w:pPr>
      <w:r>
        <w:rPr>
          <w:rFonts w:ascii="Calibri" w:hAnsi="Calibri"/>
          <w:b/>
          <w:i w:val="0"/>
          <w:color w:val="4F46E5"/>
          <w:sz w:val="24"/>
        </w:rPr>
        <w:t xml:space="preserve">§ 5  </w:t>
      </w:r>
      <w:r>
        <w:rPr>
          <w:rFonts w:ascii="Calibri" w:hAnsi="Calibri"/>
          <w:b/>
          <w:i w:val="0"/>
          <w:color w:val="0B1026"/>
          <w:sz w:val="24"/>
        </w:rPr>
        <w:t>Laufzeit &amp; Kündigung</w:t>
      </w:r>
    </w:p>
    <w:p>
      <w:pPr>
        <w:spacing w:before="40" w:after="120" w:line="269" w:lineRule="auto"/>
      </w:pPr>
      <w:r>
        <w:rPr>
          <w:rFonts w:ascii="Calibri" w:hAnsi="Calibri"/>
          <w:b w:val="0"/>
          <w:i w:val="0"/>
          <w:color w:val="0B1026"/>
          <w:sz w:val="21"/>
        </w:rPr>
        <w:t xml:space="preserve">(1) Der Vertrag beginnt am </w:t>
      </w:r>
      <w:r>
        <w:rPr>
          <w:rFonts w:ascii="Calibri" w:hAnsi="Calibri"/>
          <w:b w:val="0"/>
          <w:i w:val="0"/>
          <w:color w:val="5B4B00"/>
          <w:sz w:val="21"/>
          <w:highlight w:val="yellow"/>
        </w:rPr>
        <w:t>TT.MM.2026</w:t>
      </w:r>
      <w:r>
        <w:rPr>
          <w:rFonts w:ascii="Calibri" w:hAnsi="Calibri"/>
          <w:b w:val="0"/>
          <w:i w:val="0"/>
          <w:color w:val="0B1026"/>
          <w:sz w:val="21"/>
        </w:rPr>
        <w:t xml:space="preserve"> und läuft auf unbestimmte Zeit. Er kann von beiden Seiten mit einer Frist von </w:t>
      </w:r>
      <w:r>
        <w:rPr>
          <w:rFonts w:ascii="Calibri" w:hAnsi="Calibri"/>
          <w:b w:val="0"/>
          <w:i w:val="0"/>
          <w:color w:val="5B4B00"/>
          <w:sz w:val="21"/>
          <w:highlight w:val="yellow"/>
        </w:rPr>
        <w:t>14 Tagen</w:t>
      </w:r>
      <w:r>
        <w:rPr>
          <w:rFonts w:ascii="Calibri" w:hAnsi="Calibri"/>
          <w:b w:val="0"/>
          <w:i w:val="0"/>
          <w:color w:val="0B1026"/>
          <w:sz w:val="21"/>
        </w:rPr>
        <w:t xml:space="preserve"> in Textform gekündigt werden.</w:t>
      </w:r>
    </w:p>
    <w:p>
      <w:pPr>
        <w:spacing w:before="40" w:after="120" w:line="269" w:lineRule="auto"/>
      </w:pPr>
      <w:r>
        <w:rPr>
          <w:rFonts w:ascii="Calibri" w:hAnsi="Calibri"/>
          <w:b w:val="0"/>
          <w:i w:val="0"/>
          <w:color w:val="0B1026"/>
          <w:sz w:val="21"/>
        </w:rPr>
        <w:t>(2) Das Recht zur außerordentlichen Kündigung aus wichtigem Grund bleibt unberührt. Bereits erbrachte Leistungen sind zu vergüten.</w:t>
      </w:r>
    </w:p>
    <w:p>
      <w:pPr>
        <w:spacing w:before="200" w:after="80" w:line="269" w:lineRule="auto"/>
        <w:pBdr>
          <w:bottom w:val="single" w:sz="6" w:space="3" w:color="D7DCEA"/>
        </w:pBdr>
      </w:pPr>
      <w:r>
        <w:rPr>
          <w:rFonts w:ascii="Calibri" w:hAnsi="Calibri"/>
          <w:b/>
          <w:i w:val="0"/>
          <w:color w:val="4F46E5"/>
          <w:sz w:val="24"/>
        </w:rPr>
        <w:t xml:space="preserve">§ 6  </w:t>
      </w:r>
      <w:r>
        <w:rPr>
          <w:rFonts w:ascii="Calibri" w:hAnsi="Calibri"/>
          <w:b/>
          <w:i w:val="0"/>
          <w:color w:val="0B1026"/>
          <w:sz w:val="24"/>
        </w:rPr>
        <w:t>Gewährleistung &amp; Haftung</w:t>
      </w:r>
    </w:p>
    <w:p>
      <w:pPr>
        <w:spacing w:before="40" w:after="120" w:line="269" w:lineRule="auto"/>
      </w:pPr>
      <w:r>
        <w:rPr>
          <w:rFonts w:ascii="Calibri" w:hAnsi="Calibri"/>
          <w:b w:val="0"/>
          <w:i w:val="0"/>
          <w:color w:val="0B1026"/>
          <w:sz w:val="21"/>
        </w:rPr>
        <w:t>Der Auftragnehmer haftet unbeschränkt bei Vorsatz und grober Fahrlässigkeit sowie bei Verletzung von Leben, Körper oder Gesundheit. Bei einfacher Fahrlässigkeit haftet er nur bei Verletzung wesentlicher Vertragspflichten, begrenzt auf den vertragstypischen, vorhersehbaren Schaden. Der Auftraggeber verantwortet eigene Datensicherungen.</w:t>
      </w:r>
    </w:p>
    <w:p>
      <w:pPr>
        <w:spacing w:before="200" w:after="80" w:line="269" w:lineRule="auto"/>
        <w:pBdr>
          <w:bottom w:val="single" w:sz="6" w:space="3" w:color="D7DCEA"/>
        </w:pBdr>
      </w:pPr>
      <w:r>
        <w:rPr>
          <w:rFonts w:ascii="Calibri" w:hAnsi="Calibri"/>
          <w:b/>
          <w:i w:val="0"/>
          <w:color w:val="4F46E5"/>
          <w:sz w:val="24"/>
        </w:rPr>
        <w:t xml:space="preserve">§ 7  </w:t>
      </w:r>
      <w:r>
        <w:rPr>
          <w:rFonts w:ascii="Calibri" w:hAnsi="Calibri"/>
          <w:b/>
          <w:i w:val="0"/>
          <w:color w:val="0B1026"/>
          <w:sz w:val="24"/>
        </w:rPr>
        <w:t>Vertraulichkeit &amp; Datenschutz</w:t>
      </w:r>
    </w:p>
    <w:p>
      <w:pPr>
        <w:spacing w:before="40" w:after="120" w:line="269" w:lineRule="auto"/>
      </w:pPr>
      <w:r>
        <w:rPr>
          <w:rFonts w:ascii="Calibri" w:hAnsi="Calibri"/>
          <w:b w:val="0"/>
          <w:i w:val="0"/>
          <w:color w:val="0B1026"/>
          <w:sz w:val="21"/>
        </w:rPr>
        <w:t xml:space="preserve">Beide Parteien wahren über vertrauliche Informationen Stillschweigen. Soweit der Auftragnehmer personenbezogene Daten im Auftrag verarbeitet, schließen die Parteien einen </w:t>
      </w:r>
      <w:r>
        <w:rPr>
          <w:rFonts w:ascii="Calibri" w:hAnsi="Calibri"/>
          <w:b/>
          <w:i w:val="0"/>
          <w:color w:val="0B1026"/>
          <w:sz w:val="21"/>
        </w:rPr>
        <w:t>Vertrag zur Auftragsverarbeitung (Art. 28 DSGVO)</w:t>
      </w:r>
      <w:r>
        <w:rPr>
          <w:rFonts w:ascii="Calibri" w:hAnsi="Calibri"/>
          <w:b w:val="0"/>
          <w:i w:val="0"/>
          <w:color w:val="0B1026"/>
          <w:sz w:val="21"/>
        </w:rPr>
        <w:t>.</w:t>
      </w:r>
    </w:p>
    <w:p>
      <w:pPr>
        <w:spacing w:before="200" w:after="80" w:line="269" w:lineRule="auto"/>
        <w:pBdr>
          <w:bottom w:val="single" w:sz="6" w:space="3" w:color="D7DCEA"/>
        </w:pBdr>
      </w:pPr>
      <w:r>
        <w:rPr>
          <w:rFonts w:ascii="Calibri" w:hAnsi="Calibri"/>
          <w:b/>
          <w:i w:val="0"/>
          <w:color w:val="4F46E5"/>
          <w:sz w:val="24"/>
        </w:rPr>
        <w:t xml:space="preserve">§ 8  </w:t>
      </w:r>
      <w:r>
        <w:rPr>
          <w:rFonts w:ascii="Calibri" w:hAnsi="Calibri"/>
          <w:b/>
          <w:i w:val="0"/>
          <w:color w:val="0B1026"/>
          <w:sz w:val="24"/>
        </w:rPr>
        <w:t>Schlussbestimmungen</w:t>
      </w:r>
    </w:p>
    <w:p>
      <w:pPr>
        <w:spacing w:before="40" w:after="120" w:line="269" w:lineRule="auto"/>
      </w:pPr>
      <w:r>
        <w:rPr>
          <w:rFonts w:ascii="Calibri" w:hAnsi="Calibri"/>
          <w:b w:val="0"/>
          <w:i w:val="0"/>
          <w:color w:val="0B1026"/>
          <w:sz w:val="21"/>
        </w:rPr>
        <w:t>Änderungen bedürfen der Textform. Es gilt deutsches Recht; Gerichtsstand ist — soweit zulässig — Bremen. Sollte eine Bestimmung unwirksam sein, bleibt der Vertrag im Übrigen wirksam (salvatorische Klausel).</w:t>
      </w:r>
    </w:p>
    <w:tbl>
      <w:tblPr>
        <w:tblW w:type="auto" w:w="0"/>
        <w:tblLook w:firstColumn="1" w:firstRow="1" w:lastColumn="0" w:lastRow="0" w:noHBand="0" w:noVBand="1" w:val="04A0"/>
        <w:tblBorders>
          <w:top w:val="none"/>
          <w:left w:val="none"/>
          <w:bottom w:val="none"/>
          <w:right w:val="none"/>
          <w:insideH w:val="none"/>
          <w:insideV w:val="none"/>
        </w:tblBorders>
      </w:tblPr>
      <w:tblGrid>
        <w:gridCol w:w="4933"/>
        <w:gridCol w:w="4933"/>
      </w:tblGrid>
      <w:tr>
        <w:tc>
          <w:tcPr>
            <w:tcW w:type="dxa" w:w="4933"/>
            <w:tcMar>
              <w:top w:w="0" w:type="dxa"/>
              <w:bottom w:w="0" w:type="dxa"/>
              <w:left w:w="0" w:type="dxa"/>
              <w:right w:w="200" w:type="dxa"/>
            </w:tcMar>
          </w:tcPr>
          <w:p>
            <w:r>
              <w:rPr>
                <w:rFonts w:ascii="Calibri" w:hAnsi="Calibri"/>
                <w:b w:val="0"/>
                <w:i w:val="0"/>
                <w:color w:val="485672"/>
                <w:sz w:val="18"/>
              </w:rPr>
              <w:t>Ort, Datum</w:t>
            </w:r>
          </w:p>
          <w:p/>
          <w:p/>
          <w:p>
            <w:pPr>
              <w:pBdr>
                <w:top w:val="single" w:sz="8" w:space="3" w:color="0B1026"/>
              </w:pBdr>
            </w:pPr>
            <w:r>
              <w:rPr>
                <w:rFonts w:ascii="Calibri" w:hAnsi="Calibri"/>
                <w:b w:val="0"/>
                <w:i w:val="0"/>
                <w:color w:val="485672"/>
                <w:sz w:val="17"/>
              </w:rPr>
              <w:t>I &amp; R Development GbR — Auftragnehmer</w:t>
            </w:r>
          </w:p>
        </w:tc>
        <w:tc>
          <w:tcPr>
            <w:tcW w:type="dxa" w:w="4933"/>
            <w:tcMar>
              <w:top w:w="0" w:type="dxa"/>
              <w:bottom w:w="0" w:type="dxa"/>
              <w:left w:w="0" w:type="dxa"/>
              <w:right w:w="200" w:type="dxa"/>
            </w:tcMar>
          </w:tcPr>
          <w:p>
            <w:r>
              <w:rPr>
                <w:rFonts w:ascii="Calibri" w:hAnsi="Calibri"/>
                <w:b w:val="0"/>
                <w:i w:val="0"/>
                <w:color w:val="485672"/>
                <w:sz w:val="18"/>
              </w:rPr>
              <w:t>Ort, Datum</w:t>
            </w:r>
          </w:p>
          <w:p/>
          <w:p/>
          <w:p>
            <w:pPr>
              <w:pBdr>
                <w:top w:val="single" w:sz="8" w:space="3" w:color="0B1026"/>
              </w:pBdr>
            </w:pPr>
            <w:r>
              <w:rPr>
                <w:rFonts w:ascii="Calibri" w:hAnsi="Calibri"/>
                <w:b w:val="0"/>
                <w:i w:val="0"/>
                <w:color w:val="5B4B00"/>
                <w:sz w:val="17"/>
                <w:highlight w:val="yellow"/>
              </w:rPr>
              <w:t>Auftraggeber</w:t>
            </w:r>
          </w:p>
        </w:tc>
      </w:tr>
    </w:tbl>
    <w:tbl>
      <w:tblPr>
        <w:tblW w:type="auto" w:w="0"/>
        <w:tblLook w:firstColumn="1" w:firstRow="1" w:lastColumn="0" w:lastRow="0" w:noHBand="0" w:noVBand="1" w:val="04A0"/>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9866"/>
      </w:tblGrid>
      <w:tr>
        <w:tc>
          <w:tcPr>
            <w:tcW w:type="dxa" w:w="9866"/>
            <w:shd w:val="clear" w:color="auto" w:fill="F4F6FC"/>
            <w:tcMar>
              <w:top w:w="80" w:type="dxa"/>
              <w:bottom w:w="80" w:type="dxa"/>
              <w:left w:w="120" w:type="dxa"/>
              <w:right w:w="120" w:type="dxa"/>
            </w:tcMar>
          </w:tcPr>
          <w:p>
            <w:r>
              <w:rPr>
                <w:rFonts w:ascii="Calibri" w:hAnsi="Calibri"/>
                <w:b w:val="0"/>
                <w:i/>
                <w:color w:val="485672"/>
                <w:sz w:val="17"/>
              </w:rPr>
              <w:t xml:space="preserve">⚖️ </w:t>
            </w:r>
            <w:r>
              <w:rPr>
                <w:rFonts w:ascii="Calibri" w:hAnsi="Calibri"/>
                <w:b/>
                <w:i/>
                <w:color w:val="485672"/>
                <w:sz w:val="17"/>
              </w:rPr>
              <w:t>Muster ohne Gewähr — keine Rechtsberatung.</w:t>
            </w:r>
            <w:r>
              <w:rPr>
                <w:rFonts w:ascii="Calibri" w:hAnsi="Calibri"/>
                <w:b w:val="0"/>
                <w:i/>
                <w:color w:val="485672"/>
                <w:sz w:val="17"/>
              </w:rPr>
              <w:t xml:space="preserve"> Hinweis: Bei langfristiger Tätigkeit für nur einen Auftraggeber auf Abgrenzung zur Scheinselbstständigkeit achten. Vor Verwendung anwaltlich prüfen lassen.</w:t>
            </w:r>
          </w:p>
        </w:tc>
      </w:tr>
    </w:tbl>
    <w:sectPr w:rsidR="00FC693F" w:rsidRPr="0006063C" w:rsidSect="00034616">
      <w:headerReference w:type="default" r:id="rId9"/>
      <w:footerReference w:type="default" r:id="rId10"/>
      <w:pgSz w:w="11906" w:h="16838"/>
      <w:pgMar w:top="907" w:right="1020" w:bottom="907" w:left="1020" w:header="567"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7E8AA6"/>
        <w:sz w:val="15"/>
      </w:rPr>
      <w:t xml:space="preserve">I &amp; R Development GbR · Findorffstraße 60, 28215 Bremen · kontakt@i-r-dev.de · §19 UStG · </w:t>
    </w:r>
    <w:r>
      <w:rPr>
        <w:rFonts w:ascii="Calibri" w:hAnsi="Calibri"/>
        <w:b w:val="0"/>
        <w:i w:val="0"/>
        <w:color w:val="7E8AA6"/>
        <w:sz w:val="15"/>
      </w:rPr>
      <w:t xml:space="preserve">Seite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6" w:color="8B5CF6"/>
      </w:pBdr>
    </w:pPr>
    <w:r>
      <w:drawing>
        <wp:inline xmlns:a="http://schemas.openxmlformats.org/drawingml/2006/main" xmlns:pic="http://schemas.openxmlformats.org/drawingml/2006/picture">
          <wp:extent cx="1728000" cy="355221"/>
          <wp:docPr id="1" name="Picture 1"/>
          <wp:cNvGraphicFramePr>
            <a:graphicFrameLocks noChangeAspect="1"/>
          </wp:cNvGraphicFramePr>
          <a:graphic>
            <a:graphicData uri="http://schemas.openxmlformats.org/drawingml/2006/picture">
              <pic:pic>
                <pic:nvPicPr>
                  <pic:cNvPr id="0" name="logo-lockup.png"/>
                  <pic:cNvPicPr/>
                </pic:nvPicPr>
                <pic:blipFill>
                  <a:blip r:embed="rId1"/>
                  <a:stretch>
                    <a:fillRect/>
                  </a:stretch>
                </pic:blipFill>
                <pic:spPr>
                  <a:xfrm>
                    <a:off x="0" y="0"/>
                    <a:ext cx="1728000" cy="355221"/>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B10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