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80" w:after="40" w:line="269" w:lineRule="auto"/>
      </w:pPr>
      <w:r>
        <w:rPr>
          <w:rFonts w:ascii="Calibri" w:hAnsi="Calibri"/>
          <w:b/>
          <w:i w:val="0"/>
          <w:color w:val="0B1026"/>
          <w:sz w:val="44"/>
        </w:rPr>
        <w:t>Wartungs- &amp; Supportvertrag</w:t>
      </w:r>
    </w:p>
    <w:p>
      <w:pPr>
        <w:spacing w:before="0" w:after="160" w:line="269" w:lineRule="auto"/>
      </w:pPr>
      <w:r>
        <w:rPr>
          <w:rFonts w:ascii="Calibri" w:hAnsi="Calibri"/>
          <w:b w:val="0"/>
          <w:i w:val="0"/>
          <w:color w:val="485672"/>
          <w:sz w:val="23"/>
        </w:rPr>
        <w:t>Pflege, Updates und Support für die überlassene Software</w:t>
      </w:r>
    </w:p>
    <w:tbl>
      <w:tblPr>
        <w:tblW w:type="auto" w:w="0"/>
        <w:tblLook w:firstColumn="1" w:firstRow="1" w:lastColumn="0" w:lastRow="0" w:noHBand="0" w:noVBand="1" w:val="04A0"/>
        <w:jc w:val="center"/>
        <w:tblBorders>
          <w:top w:val="single" w:sz="6" w:space="0" w:color="D7DCEA"/>
          <w:left w:val="single" w:sz="6" w:space="0" w:color="D7DCEA"/>
          <w:bottom w:val="single" w:sz="6" w:space="0" w:color="D7DCEA"/>
          <w:right w:val="single" w:sz="6" w:space="0" w:color="D7DCEA"/>
          <w:insideH w:val="single" w:sz="6" w:space="0" w:color="D7DCEA"/>
          <w:insideV w:val="single" w:sz="6" w:space="0" w:color="D7DCEA"/>
        </w:tblBorders>
      </w:tblPr>
      <w:tblGrid>
        <w:gridCol w:w="4933"/>
        <w:gridCol w:w="4933"/>
      </w:tblGrid>
      <w:tr>
        <w:tc>
          <w:tcPr>
            <w:tcW w:type="dxa" w:w="4933"/>
            <w:shd w:val="clear" w:color="auto" w:fill="F4F6FC"/>
            <w:tcMar>
              <w:top w:w="60" w:type="dxa"/>
              <w:bottom w:w="60" w:type="dxa"/>
              <w:left w:w="100" w:type="dxa"/>
              <w:right w:w="100" w:type="dxa"/>
            </w:tcMar>
          </w:tcPr>
          <w:p>
            <w:pPr>
              <w:spacing w:after="80"/>
            </w:pPr>
            <w:r>
              <w:rPr>
                <w:rFonts w:ascii="Calibri" w:hAnsi="Calibri"/>
                <w:b/>
                <w:i w:val="0"/>
                <w:color w:val="4F46E5"/>
                <w:sz w:val="16"/>
              </w:rPr>
              <w:t>AUFTRAGNEHMER</w:t>
            </w:r>
          </w:p>
          <w:p>
            <w:r>
              <w:rPr>
                <w:rFonts w:ascii="Calibri" w:hAnsi="Calibri"/>
                <w:b/>
                <w:i w:val="0"/>
                <w:color w:val="0B1026"/>
                <w:sz w:val="19"/>
              </w:rPr>
              <w:t>I &amp; R Development GbR</w:t>
            </w:r>
            <w:r>
              <w:br/>
            </w:r>
            <w:r>
              <w:rPr>
                <w:rFonts w:ascii="Calibri" w:hAnsi="Calibri"/>
                <w:b w:val="0"/>
                <w:i w:val="0"/>
                <w:color w:val="0B1026"/>
                <w:sz w:val="19"/>
              </w:rPr>
              <w:t>Ibrahim Hasan &amp; Ram Mohamad</w:t>
            </w:r>
            <w:r>
              <w:br/>
            </w:r>
            <w:r>
              <w:rPr>
                <w:rFonts w:ascii="Calibri" w:hAnsi="Calibri"/>
                <w:b w:val="0"/>
                <w:i w:val="0"/>
                <w:color w:val="0B1026"/>
                <w:sz w:val="19"/>
              </w:rPr>
              <w:t>Findorffstraße 60, 28215 Bremen</w:t>
            </w:r>
            <w:r>
              <w:br/>
            </w:r>
            <w:r>
              <w:rPr>
                <w:rFonts w:ascii="Calibri" w:hAnsi="Calibri"/>
                <w:b w:val="0"/>
                <w:i w:val="0"/>
                <w:color w:val="0B1026"/>
                <w:sz w:val="19"/>
              </w:rPr>
              <w:t xml:space="preserve">kontakt@i-r-dev.de </w:t>
            </w:r>
          </w:p>
        </w:tc>
        <w:tc>
          <w:tcPr>
            <w:tcW w:type="dxa" w:w="4933"/>
            <w:shd w:val="clear" w:color="auto" w:fill="F4F6FC"/>
            <w:tcMar>
              <w:top w:w="60" w:type="dxa"/>
              <w:bottom w:w="60" w:type="dxa"/>
              <w:left w:w="100" w:type="dxa"/>
              <w:right w:w="100" w:type="dxa"/>
            </w:tcMar>
          </w:tcPr>
          <w:p>
            <w:pPr>
              <w:spacing w:after="80"/>
            </w:pPr>
            <w:r>
              <w:rPr>
                <w:rFonts w:ascii="Calibri" w:hAnsi="Calibri"/>
                <w:b/>
                <w:i w:val="0"/>
                <w:color w:val="4F46E5"/>
                <w:sz w:val="16"/>
              </w:rPr>
              <w:t>AUFTRAGGEBER</w:t>
            </w:r>
          </w:p>
          <w:p>
            <w:r>
              <w:rPr>
                <w:rFonts w:ascii="Calibri" w:hAnsi="Calibri"/>
                <w:b/>
                <w:i w:val="0"/>
                <w:color w:val="5B4B00"/>
                <w:sz w:val="19"/>
                <w:highlight w:val="yellow"/>
              </w:rPr>
              <w:t>Firma / Name</w:t>
            </w:r>
            <w:r>
              <w:br/>
            </w:r>
            <w:r>
              <w:rPr>
                <w:rFonts w:ascii="Calibri" w:hAnsi="Calibri"/>
                <w:b w:val="0"/>
                <w:i w:val="0"/>
                <w:color w:val="5B4B00"/>
                <w:sz w:val="19"/>
                <w:highlight w:val="yellow"/>
              </w:rPr>
              <w:t>vertreten durch</w:t>
            </w:r>
            <w:r>
              <w:br/>
            </w:r>
            <w:r>
              <w:rPr>
                <w:rFonts w:ascii="Calibri" w:hAnsi="Calibri"/>
                <w:b w:val="0"/>
                <w:i w:val="0"/>
                <w:color w:val="5B4B00"/>
                <w:sz w:val="19"/>
                <w:highlight w:val="yellow"/>
              </w:rPr>
              <w:t>Straße, PLZ Ort</w:t>
            </w:r>
            <w:r>
              <w:br/>
            </w:r>
            <w:r>
              <w:rPr>
                <w:rFonts w:ascii="Calibri" w:hAnsi="Calibri"/>
                <w:b w:val="0"/>
                <w:i w:val="0"/>
                <w:color w:val="5B4B00"/>
                <w:sz w:val="19"/>
                <w:highlight w:val="yellow"/>
              </w:rPr>
              <w:t>E-Mail</w:t>
            </w:r>
            <w:r>
              <w:rPr>
                <w:rFonts w:ascii="Calibri" w:hAnsi="Calibri"/>
                <w:b w:val="0"/>
                <w:i w:val="0"/>
                <w:color w:val="0B1026"/>
                <w:sz w:val="19"/>
              </w:rPr>
              <w:t xml:space="preserve"> </w:t>
            </w:r>
          </w:p>
        </w:tc>
      </w:tr>
    </w:tbl>
    <w:p>
      <w:pPr>
        <w:spacing w:before="40" w:after="80" w:line="269" w:lineRule="auto"/>
        <w:jc w:val="center"/>
      </w:pPr>
      <w:r>
        <w:rPr>
          <w:rFonts w:ascii="Calibri" w:hAnsi="Calibri"/>
          <w:b w:val="0"/>
          <w:i/>
          <w:color w:val="485672"/>
          <w:sz w:val="19"/>
        </w:rPr>
        <w:t>— schließen folgenden Wartungs- und Supportvertrag:</w:t>
      </w:r>
    </w:p>
    <w:p>
      <w:pPr>
        <w:spacing w:before="200" w:after="80" w:line="269" w:lineRule="auto"/>
        <w:pBdr>
          <w:bottom w:val="single" w:sz="6" w:space="3" w:color="D7DCEA"/>
        </w:pBdr>
      </w:pPr>
      <w:r>
        <w:rPr>
          <w:rFonts w:ascii="Calibri" w:hAnsi="Calibri"/>
          <w:b/>
          <w:i w:val="0"/>
          <w:color w:val="4F46E5"/>
          <w:sz w:val="24"/>
        </w:rPr>
        <w:t xml:space="preserve">§ 1  </w:t>
      </w:r>
      <w:r>
        <w:rPr>
          <w:rFonts w:ascii="Calibri" w:hAnsi="Calibri"/>
          <w:b/>
          <w:i w:val="0"/>
          <w:color w:val="0B1026"/>
          <w:sz w:val="24"/>
        </w:rPr>
        <w:t>Vertragsgegenstand</w:t>
      </w:r>
    </w:p>
    <w:p>
      <w:pPr>
        <w:spacing w:before="40" w:after="120" w:line="269" w:lineRule="auto"/>
      </w:pPr>
      <w:r>
        <w:rPr>
          <w:rFonts w:ascii="Calibri" w:hAnsi="Calibri"/>
          <w:b w:val="0"/>
          <w:i w:val="0"/>
          <w:color w:val="0B1026"/>
          <w:sz w:val="21"/>
        </w:rPr>
        <w:t>Gegenstand ist die laufende Wartung, Pflege und der Support der Software „</w:t>
      </w:r>
      <w:r>
        <w:rPr>
          <w:rFonts w:ascii="Calibri" w:hAnsi="Calibri"/>
          <w:b w:val="0"/>
          <w:i w:val="0"/>
          <w:color w:val="5B4B00"/>
          <w:sz w:val="21"/>
          <w:highlight w:val="yellow"/>
        </w:rPr>
        <w:t>Produkt/Projekt</w:t>
      </w:r>
      <w:r>
        <w:rPr>
          <w:rFonts w:ascii="Calibri" w:hAnsi="Calibri"/>
          <w:b w:val="0"/>
          <w:i w:val="0"/>
          <w:color w:val="0B1026"/>
          <w:sz w:val="21"/>
        </w:rPr>
        <w:t>", die der Auftragnehmer für den Auftraggeber erstellt bzw. überlassen hat.</w:t>
      </w:r>
    </w:p>
    <w:p>
      <w:pPr>
        <w:spacing w:before="200" w:after="80" w:line="269" w:lineRule="auto"/>
        <w:pBdr>
          <w:bottom w:val="single" w:sz="6" w:space="3" w:color="D7DCEA"/>
        </w:pBdr>
      </w:pPr>
      <w:r>
        <w:rPr>
          <w:rFonts w:ascii="Calibri" w:hAnsi="Calibri"/>
          <w:b/>
          <w:i w:val="0"/>
          <w:color w:val="4F46E5"/>
          <w:sz w:val="24"/>
        </w:rPr>
        <w:t xml:space="preserve">§ 2  </w:t>
      </w:r>
      <w:r>
        <w:rPr>
          <w:rFonts w:ascii="Calibri" w:hAnsi="Calibri"/>
          <w:b/>
          <w:i w:val="0"/>
          <w:color w:val="0B1026"/>
          <w:sz w:val="24"/>
        </w:rPr>
        <w:t>Leistungsumfang</w:t>
      </w:r>
    </w:p>
    <w:p>
      <w:pPr>
        <w:spacing w:before="40" w:after="120" w:line="269" w:lineRule="auto"/>
      </w:pPr>
      <w:r>
        <w:rPr>
          <w:rFonts w:ascii="Calibri" w:hAnsi="Calibri"/>
          <w:b w:val="0"/>
          <w:i w:val="0"/>
          <w:color w:val="0B1026"/>
          <w:sz w:val="21"/>
        </w:rPr>
        <w:t xml:space="preserve">(1) </w:t>
      </w:r>
      <w:r>
        <w:rPr>
          <w:rFonts w:ascii="Calibri" w:hAnsi="Calibri"/>
          <w:b/>
          <w:i w:val="0"/>
          <w:color w:val="0B1026"/>
          <w:sz w:val="21"/>
        </w:rPr>
        <w:t>Inklusive:</w:t>
      </w:r>
      <w:r>
        <w:rPr>
          <w:rFonts w:ascii="Calibri" w:hAnsi="Calibri"/>
          <w:b w:val="0"/>
          <w:i w:val="0"/>
          <w:color w:val="0B1026"/>
          <w:sz w:val="21"/>
        </w:rPr>
        <w:t xml:space="preserve"> Fehlerbehebung (Bugfixing), Sicherheits- und Kompatibilitäts-Updates, Pflege der eingesetzten Bibliotheken, kleinere Anpassungen, Überwachung des Betriebs sowie technischer Support per E-Mail und Telefon.</w:t>
      </w:r>
    </w:p>
    <w:p>
      <w:pPr>
        <w:spacing w:before="40" w:after="120" w:line="269" w:lineRule="auto"/>
      </w:pPr>
      <w:r>
        <w:rPr>
          <w:rFonts w:ascii="Calibri" w:hAnsi="Calibri"/>
          <w:b w:val="0"/>
          <w:i w:val="0"/>
          <w:color w:val="0B1026"/>
          <w:sz w:val="21"/>
        </w:rPr>
        <w:t xml:space="preserve">(2) </w:t>
      </w:r>
      <w:r>
        <w:rPr>
          <w:rFonts w:ascii="Calibri" w:hAnsi="Calibri"/>
          <w:b/>
          <w:i w:val="0"/>
          <w:color w:val="0B1026"/>
          <w:sz w:val="21"/>
        </w:rPr>
        <w:t>Nicht inklusive</w:t>
      </w:r>
      <w:r>
        <w:rPr>
          <w:rFonts w:ascii="Calibri" w:hAnsi="Calibri"/>
          <w:b w:val="0"/>
          <w:i w:val="0"/>
          <w:color w:val="0B1026"/>
          <w:sz w:val="21"/>
        </w:rPr>
        <w:t xml:space="preserve"> (Abrechnung nach Aufwand): Neuentwicklungen und Erweiterungen, konzeptionelle Änderungen, Schulungen, Datenwiederherstellung sowie Fehler durch unsachgemäße Nutzung oder Eingriffe Dritter.</w:t>
      </w:r>
    </w:p>
    <w:p>
      <w:pPr>
        <w:spacing w:before="40" w:after="120" w:line="269" w:lineRule="auto"/>
      </w:pPr>
      <w:r>
        <w:rPr>
          <w:rFonts w:ascii="Calibri" w:hAnsi="Calibri"/>
          <w:b w:val="0"/>
          <w:i w:val="0"/>
          <w:color w:val="0B1026"/>
          <w:sz w:val="21"/>
        </w:rPr>
        <w:t>(3) Drittkosten (Hosting bei Netlify, Datenbank bei Supabase, Domains, Lizenzen) sind nicht Bestandteil der Pauschale und werden vom Auftraggeber getragen.</w:t>
      </w:r>
    </w:p>
    <w:p>
      <w:pPr>
        <w:spacing w:before="200" w:after="80" w:line="269" w:lineRule="auto"/>
        <w:pBdr>
          <w:bottom w:val="single" w:sz="6" w:space="3" w:color="D7DCEA"/>
        </w:pBdr>
      </w:pPr>
      <w:r>
        <w:rPr>
          <w:rFonts w:ascii="Calibri" w:hAnsi="Calibri"/>
          <w:b/>
          <w:i w:val="0"/>
          <w:color w:val="4F46E5"/>
          <w:sz w:val="24"/>
        </w:rPr>
        <w:t xml:space="preserve">§ 3  </w:t>
      </w:r>
      <w:r>
        <w:rPr>
          <w:rFonts w:ascii="Calibri" w:hAnsi="Calibri"/>
          <w:b/>
          <w:i w:val="0"/>
          <w:color w:val="0B1026"/>
          <w:sz w:val="24"/>
        </w:rPr>
        <w:t>Servicezeiten &amp; Reaktionszeiten (SLA)</w:t>
      </w:r>
    </w:p>
    <w:p>
      <w:pPr>
        <w:spacing w:before="40" w:after="120" w:line="269" w:lineRule="auto"/>
      </w:pPr>
      <w:r>
        <w:rPr>
          <w:rFonts w:ascii="Calibri" w:hAnsi="Calibri"/>
          <w:b w:val="0"/>
          <w:i w:val="0"/>
          <w:color w:val="0B1026"/>
          <w:sz w:val="21"/>
        </w:rPr>
        <w:t xml:space="preserve">Servicezeiten: </w:t>
      </w:r>
      <w:r>
        <w:rPr>
          <w:rFonts w:ascii="Calibri" w:hAnsi="Calibri"/>
          <w:b w:val="0"/>
          <w:i w:val="0"/>
          <w:color w:val="5B4B00"/>
          <w:sz w:val="21"/>
          <w:highlight w:val="yellow"/>
        </w:rPr>
        <w:t>Mo–Fr, 9:00–17:00 Uhr</w:t>
      </w:r>
      <w:r>
        <w:rPr>
          <w:rFonts w:ascii="Calibri" w:hAnsi="Calibri"/>
          <w:b w:val="0"/>
          <w:i w:val="0"/>
          <w:color w:val="0B1026"/>
          <w:sz w:val="21"/>
        </w:rPr>
        <w:t xml:space="preserve"> (an Werktagen in Bremen, außer an gesetzlichen Feiertagen). Die Reaktionszeit bezeichnet die Zeit bis zur qualifizierten Rückmeldung innerhalb der Servicezeiten, nicht die Zeit bis zur endgültigen Lösung.</w:t>
      </w:r>
    </w:p>
    <w:p>
      <w:pPr>
        <w:spacing w:before="200" w:after="80" w:line="269" w:lineRule="auto"/>
        <w:pBdr>
          <w:bottom w:val="single" w:sz="6" w:space="3" w:color="D7DCEA"/>
        </w:pBdr>
      </w:pPr>
      <w:r>
        <w:rPr>
          <w:rFonts w:ascii="Calibri" w:hAnsi="Calibri"/>
          <w:b/>
          <w:i w:val="0"/>
          <w:color w:val="4F46E5"/>
          <w:sz w:val="24"/>
        </w:rPr>
        <w:t xml:space="preserve">§ 4  </w:t>
      </w:r>
      <w:r>
        <w:rPr>
          <w:rFonts w:ascii="Calibri" w:hAnsi="Calibri"/>
          <w:b/>
          <w:i w:val="0"/>
          <w:color w:val="0B1026"/>
          <w:sz w:val="24"/>
        </w:rPr>
        <w:t>Vergütung</w:t>
      </w:r>
    </w:p>
    <w:p>
      <w:pPr>
        <w:spacing w:before="40" w:after="120" w:line="269" w:lineRule="auto"/>
      </w:pPr>
      <w:r>
        <w:rPr>
          <w:rFonts w:ascii="Calibri" w:hAnsi="Calibri"/>
          <w:b w:val="0"/>
          <w:i w:val="0"/>
          <w:color w:val="0B1026"/>
          <w:sz w:val="21"/>
        </w:rPr>
        <w:t xml:space="preserve">(1) Die Wartungspauschale beträgt </w:t>
      </w:r>
      <w:r>
        <w:rPr>
          <w:rFonts w:ascii="Calibri" w:hAnsi="Calibri"/>
          <w:b w:val="0"/>
          <w:i w:val="0"/>
          <w:color w:val="5B4B00"/>
          <w:sz w:val="21"/>
          <w:highlight w:val="yellow"/>
        </w:rPr>
        <w:t>00,00 €</w:t>
      </w:r>
      <w:r>
        <w:rPr>
          <w:rFonts w:ascii="Calibri" w:hAnsi="Calibri"/>
          <w:b w:val="0"/>
          <w:i w:val="0"/>
          <w:color w:val="0B1026"/>
          <w:sz w:val="21"/>
        </w:rPr>
        <w:t xml:space="preserve"> pro </w:t>
      </w:r>
      <w:r>
        <w:rPr>
          <w:rFonts w:ascii="Calibri" w:hAnsi="Calibri"/>
          <w:b w:val="0"/>
          <w:i w:val="0"/>
          <w:color w:val="5B4B00"/>
          <w:sz w:val="21"/>
          <w:highlight w:val="yellow"/>
        </w:rPr>
        <w:t>Monat / Jahr</w:t>
      </w:r>
      <w:r>
        <w:rPr>
          <w:rFonts w:ascii="Calibri" w:hAnsi="Calibri"/>
          <w:b w:val="0"/>
          <w:i w:val="0"/>
          <w:color w:val="0B1026"/>
          <w:sz w:val="21"/>
        </w:rPr>
        <w:t xml:space="preserve">, zahlbar </w:t>
      </w:r>
      <w:r>
        <w:rPr>
          <w:rFonts w:ascii="Calibri" w:hAnsi="Calibri"/>
          <w:b w:val="0"/>
          <w:i w:val="0"/>
          <w:color w:val="5B4B00"/>
          <w:sz w:val="21"/>
          <w:highlight w:val="yellow"/>
        </w:rPr>
        <w:t>monatlich / jährlich</w:t>
      </w:r>
      <w:r>
        <w:rPr>
          <w:rFonts w:ascii="Calibri" w:hAnsi="Calibri"/>
          <w:b w:val="0"/>
          <w:i w:val="0"/>
          <w:color w:val="0B1026"/>
          <w:sz w:val="21"/>
        </w:rPr>
        <w:t xml:space="preserve"> im Voraus.</w:t>
      </w:r>
    </w:p>
    <w:p>
      <w:pPr>
        <w:spacing w:before="40" w:after="120" w:line="269" w:lineRule="auto"/>
      </w:pPr>
      <w:r>
        <w:rPr>
          <w:rFonts w:ascii="Calibri" w:hAnsi="Calibri"/>
          <w:b w:val="0"/>
          <w:i w:val="0"/>
          <w:color w:val="0B1026"/>
          <w:sz w:val="21"/>
        </w:rPr>
        <w:t xml:space="preserve">(2) Leistungen außerhalb der Pauschale (§ 2 Abs. 2) werden nach Aufwand zu </w:t>
      </w:r>
      <w:r>
        <w:rPr>
          <w:rFonts w:ascii="Calibri" w:hAnsi="Calibri"/>
          <w:b w:val="0"/>
          <w:i w:val="0"/>
          <w:color w:val="5B4B00"/>
          <w:sz w:val="21"/>
          <w:highlight w:val="yellow"/>
        </w:rPr>
        <w:t>75,00 €</w:t>
      </w:r>
      <w:r>
        <w:rPr>
          <w:rFonts w:ascii="Calibri" w:hAnsi="Calibri"/>
          <w:b w:val="0"/>
          <w:i w:val="0"/>
          <w:color w:val="0B1026"/>
          <w:sz w:val="21"/>
        </w:rPr>
        <w:t xml:space="preserve">/Std. berechnet, Einsätze außerhalb der Servicezeiten mit einem Zuschlag von </w:t>
      </w:r>
      <w:r>
        <w:rPr>
          <w:rFonts w:ascii="Calibri" w:hAnsi="Calibri"/>
          <w:b w:val="0"/>
          <w:i w:val="0"/>
          <w:color w:val="5B4B00"/>
          <w:sz w:val="21"/>
          <w:highlight w:val="yellow"/>
        </w:rPr>
        <w:t>50 %</w:t>
      </w:r>
      <w:r>
        <w:rPr>
          <w:rFonts w:ascii="Calibri" w:hAnsi="Calibri"/>
          <w:b w:val="0"/>
          <w:i w:val="0"/>
          <w:color w:val="0B1026"/>
          <w:sz w:val="21"/>
        </w:rPr>
        <w:t>.</w:t>
      </w:r>
    </w:p>
    <w:p>
      <w:pPr>
        <w:spacing w:before="40" w:after="120" w:line="269" w:lineRule="auto"/>
      </w:pPr>
      <w:r>
        <w:rPr>
          <w:rFonts w:ascii="Calibri" w:hAnsi="Calibri"/>
          <w:b w:val="0"/>
          <w:i w:val="0"/>
          <w:color w:val="0B1026"/>
          <w:sz w:val="21"/>
        </w:rPr>
        <w:t xml:space="preserve">(3) Gemäß </w:t>
      </w:r>
      <w:r>
        <w:rPr>
          <w:rFonts w:ascii="Calibri" w:hAnsi="Calibri"/>
          <w:b/>
          <w:i w:val="0"/>
          <w:color w:val="0B1026"/>
          <w:sz w:val="21"/>
        </w:rPr>
        <w:t>§ 19 UStG</w:t>
      </w:r>
      <w:r>
        <w:rPr>
          <w:rFonts w:ascii="Calibri" w:hAnsi="Calibri"/>
          <w:b w:val="0"/>
          <w:i w:val="0"/>
          <w:color w:val="0B1026"/>
          <w:sz w:val="21"/>
        </w:rPr>
        <w:t xml:space="preserve"> wird keine Umsatzsteuer berechnet (Kleinunternehmerregelung).</w:t>
      </w:r>
    </w:p>
    <w:p>
      <w:pPr>
        <w:spacing w:before="200" w:after="80" w:line="269" w:lineRule="auto"/>
        <w:pBdr>
          <w:bottom w:val="single" w:sz="6" w:space="3" w:color="D7DCEA"/>
        </w:pBdr>
      </w:pPr>
      <w:r>
        <w:rPr>
          <w:rFonts w:ascii="Calibri" w:hAnsi="Calibri"/>
          <w:b/>
          <w:i w:val="0"/>
          <w:color w:val="4F46E5"/>
          <w:sz w:val="24"/>
        </w:rPr>
        <w:t xml:space="preserve">§ 5  </w:t>
      </w:r>
      <w:r>
        <w:rPr>
          <w:rFonts w:ascii="Calibri" w:hAnsi="Calibri"/>
          <w:b/>
          <w:i w:val="0"/>
          <w:color w:val="0B1026"/>
          <w:sz w:val="24"/>
        </w:rPr>
        <w:t>Mitwirkung des Auftraggebers</w:t>
      </w:r>
    </w:p>
    <w:p>
      <w:pPr>
        <w:spacing w:before="40" w:after="120" w:line="269" w:lineRule="auto"/>
      </w:pPr>
      <w:r>
        <w:rPr>
          <w:rFonts w:ascii="Calibri" w:hAnsi="Calibri"/>
          <w:b w:val="0"/>
          <w:i w:val="0"/>
          <w:color w:val="0B1026"/>
          <w:sz w:val="21"/>
        </w:rPr>
        <w:t xml:space="preserve">Der Auftraggeber meldet Störungen nachvollziehbar (Beschreibung, Zeitpunkt, Priorität) an </w:t>
      </w:r>
      <w:r>
        <w:rPr>
          <w:rFonts w:ascii="Calibri" w:hAnsi="Calibri"/>
          <w:b w:val="0"/>
          <w:i w:val="0"/>
          <w:color w:val="5B4B00"/>
          <w:sz w:val="21"/>
          <w:highlight w:val="yellow"/>
        </w:rPr>
        <w:t>support@i-r-dev.de</w:t>
      </w:r>
      <w:r>
        <w:rPr>
          <w:rFonts w:ascii="Calibri" w:hAnsi="Calibri"/>
          <w:b w:val="0"/>
          <w:i w:val="0"/>
          <w:color w:val="0B1026"/>
          <w:sz w:val="21"/>
        </w:rPr>
        <w:t>, stellt erforderliche Zugänge bereit und benennt eine/n Ansprechpartner/in. Für regelmäßige Datensicherungen ist der Auftraggeber verantwortlich, sofern nicht ausdrücklich anders vereinbart.</w:t>
      </w:r>
    </w:p>
    <w:p>
      <w:pPr>
        <w:spacing w:before="200" w:after="80" w:line="269" w:lineRule="auto"/>
        <w:pBdr>
          <w:bottom w:val="single" w:sz="6" w:space="3" w:color="D7DCEA"/>
        </w:pBdr>
      </w:pPr>
      <w:r>
        <w:rPr>
          <w:rFonts w:ascii="Calibri" w:hAnsi="Calibri"/>
          <w:b/>
          <w:i w:val="0"/>
          <w:color w:val="4F46E5"/>
          <w:sz w:val="24"/>
        </w:rPr>
        <w:t xml:space="preserve">§ 6  </w:t>
      </w:r>
      <w:r>
        <w:rPr>
          <w:rFonts w:ascii="Calibri" w:hAnsi="Calibri"/>
          <w:b/>
          <w:i w:val="0"/>
          <w:color w:val="0B1026"/>
          <w:sz w:val="24"/>
        </w:rPr>
        <w:t>Laufzeit &amp; Kündigung</w:t>
      </w:r>
    </w:p>
    <w:p>
      <w:pPr>
        <w:spacing w:before="40" w:after="120" w:line="269" w:lineRule="auto"/>
      </w:pPr>
      <w:r>
        <w:rPr>
          <w:rFonts w:ascii="Calibri" w:hAnsi="Calibri"/>
          <w:b w:val="0"/>
          <w:i w:val="0"/>
          <w:color w:val="0B1026"/>
          <w:sz w:val="21"/>
        </w:rPr>
        <w:t xml:space="preserve">(1) Der Vertrag beginnt am </w:t>
      </w:r>
      <w:r>
        <w:rPr>
          <w:rFonts w:ascii="Calibri" w:hAnsi="Calibri"/>
          <w:b w:val="0"/>
          <w:i w:val="0"/>
          <w:color w:val="5B4B00"/>
          <w:sz w:val="21"/>
          <w:highlight w:val="yellow"/>
        </w:rPr>
        <w:t>TT.MM.2026</w:t>
      </w:r>
      <w:r>
        <w:rPr>
          <w:rFonts w:ascii="Calibri" w:hAnsi="Calibri"/>
          <w:b w:val="0"/>
          <w:i w:val="0"/>
          <w:color w:val="0B1026"/>
          <w:sz w:val="21"/>
        </w:rPr>
        <w:t xml:space="preserve"> und läuft </w:t>
      </w:r>
      <w:r>
        <w:rPr>
          <w:rFonts w:ascii="Calibri" w:hAnsi="Calibri"/>
          <w:b w:val="0"/>
          <w:i w:val="0"/>
          <w:color w:val="5B4B00"/>
          <w:sz w:val="21"/>
          <w:highlight w:val="yellow"/>
        </w:rPr>
        <w:t>12 Monate</w:t>
      </w:r>
      <w:r>
        <w:rPr>
          <w:rFonts w:ascii="Calibri" w:hAnsi="Calibri"/>
          <w:b w:val="0"/>
          <w:i w:val="0"/>
          <w:color w:val="0B1026"/>
          <w:sz w:val="21"/>
        </w:rPr>
        <w:t xml:space="preserve">. Er verlängert sich um jeweils </w:t>
      </w:r>
      <w:r>
        <w:rPr>
          <w:rFonts w:ascii="Calibri" w:hAnsi="Calibri"/>
          <w:b w:val="0"/>
          <w:i w:val="0"/>
          <w:color w:val="5B4B00"/>
          <w:sz w:val="21"/>
          <w:highlight w:val="yellow"/>
        </w:rPr>
        <w:t>12 Monate</w:t>
      </w:r>
      <w:r>
        <w:rPr>
          <w:rFonts w:ascii="Calibri" w:hAnsi="Calibri"/>
          <w:b w:val="0"/>
          <w:i w:val="0"/>
          <w:color w:val="0B1026"/>
          <w:sz w:val="21"/>
        </w:rPr>
        <w:t xml:space="preserve">, wenn er nicht mit einer Frist von </w:t>
      </w:r>
      <w:r>
        <w:rPr>
          <w:rFonts w:ascii="Calibri" w:hAnsi="Calibri"/>
          <w:b w:val="0"/>
          <w:i w:val="0"/>
          <w:color w:val="5B4B00"/>
          <w:sz w:val="21"/>
          <w:highlight w:val="yellow"/>
        </w:rPr>
        <w:t>3 Monaten</w:t>
      </w:r>
      <w:r>
        <w:rPr>
          <w:rFonts w:ascii="Calibri" w:hAnsi="Calibri"/>
          <w:b w:val="0"/>
          <w:i w:val="0"/>
          <w:color w:val="0B1026"/>
          <w:sz w:val="21"/>
        </w:rPr>
        <w:t xml:space="preserve"> zum Laufzeitende gekündigt wird.</w:t>
      </w:r>
    </w:p>
    <w:p>
      <w:pPr>
        <w:spacing w:before="40" w:after="120" w:line="269" w:lineRule="auto"/>
      </w:pPr>
      <w:r>
        <w:rPr>
          <w:rFonts w:ascii="Calibri" w:hAnsi="Calibri"/>
          <w:b w:val="0"/>
          <w:i w:val="0"/>
          <w:color w:val="0B1026"/>
          <w:sz w:val="21"/>
        </w:rPr>
        <w:t>(2) Das Recht zur außerordentlichen Kündigung aus wichtigem Grund bleibt unberührt. Kündigungen bedürfen der Textform.</w:t>
      </w:r>
    </w:p>
    <w:p>
      <w:pPr>
        <w:spacing w:before="200" w:after="80" w:line="269" w:lineRule="auto"/>
        <w:pBdr>
          <w:bottom w:val="single" w:sz="6" w:space="3" w:color="D7DCEA"/>
        </w:pBdr>
      </w:pPr>
      <w:r>
        <w:rPr>
          <w:rFonts w:ascii="Calibri" w:hAnsi="Calibri"/>
          <w:b/>
          <w:i w:val="0"/>
          <w:color w:val="4F46E5"/>
          <w:sz w:val="24"/>
        </w:rPr>
        <w:t xml:space="preserve">§ 7  </w:t>
      </w:r>
      <w:r>
        <w:rPr>
          <w:rFonts w:ascii="Calibri" w:hAnsi="Calibri"/>
          <w:b/>
          <w:i w:val="0"/>
          <w:color w:val="0B1026"/>
          <w:sz w:val="24"/>
        </w:rPr>
        <w:t>Haftung</w:t>
      </w:r>
    </w:p>
    <w:p>
      <w:pPr>
        <w:spacing w:before="40" w:after="120" w:line="269" w:lineRule="auto"/>
      </w:pPr>
      <w:r>
        <w:rPr>
          <w:rFonts w:ascii="Calibri" w:hAnsi="Calibri"/>
          <w:b w:val="0"/>
          <w:i w:val="0"/>
          <w:color w:val="0B1026"/>
          <w:sz w:val="21"/>
        </w:rPr>
        <w:t>Der Auftragnehmer haftet unbeschränkt bei Vorsatz und grober Fahrlässigkeit sowie bei Verletzung von Leben, Körper oder Gesundheit. Bei einfacher Fahrlässigkeit haftet er nur bei Verletzung wesentlicher Vertragspflichten, begrenzt auf den vertragstypischen, vorhersehbaren Schaden, höchstens auf die Jahresvergütung dieses Vertrages.</w:t>
      </w:r>
    </w:p>
    <w:p>
      <w:pPr>
        <w:spacing w:before="200" w:after="80" w:line="269" w:lineRule="auto"/>
        <w:pBdr>
          <w:bottom w:val="single" w:sz="6" w:space="3" w:color="D7DCEA"/>
        </w:pBdr>
      </w:pPr>
      <w:r>
        <w:rPr>
          <w:rFonts w:ascii="Calibri" w:hAnsi="Calibri"/>
          <w:b/>
          <w:i w:val="0"/>
          <w:color w:val="4F46E5"/>
          <w:sz w:val="24"/>
        </w:rPr>
        <w:t xml:space="preserve">§ 8  </w:t>
      </w:r>
      <w:r>
        <w:rPr>
          <w:rFonts w:ascii="Calibri" w:hAnsi="Calibri"/>
          <w:b/>
          <w:i w:val="0"/>
          <w:color w:val="0B1026"/>
          <w:sz w:val="24"/>
        </w:rPr>
        <w:t>Datenschutz</w:t>
      </w:r>
    </w:p>
    <w:p>
      <w:pPr>
        <w:spacing w:before="40" w:after="120" w:line="269" w:lineRule="auto"/>
      </w:pPr>
      <w:r>
        <w:rPr>
          <w:rFonts w:ascii="Calibri" w:hAnsi="Calibri"/>
          <w:b w:val="0"/>
          <w:i w:val="0"/>
          <w:color w:val="0B1026"/>
          <w:sz w:val="21"/>
        </w:rPr>
        <w:t xml:space="preserve">Erhält der Auftragnehmer im Rahmen des Supports Zugriff auf personenbezogene Daten, gilt der zwischen den Parteien geschlossene </w:t>
      </w:r>
      <w:r>
        <w:rPr>
          <w:rFonts w:ascii="Calibri" w:hAnsi="Calibri"/>
          <w:b/>
          <w:i w:val="0"/>
          <w:color w:val="0B1026"/>
          <w:sz w:val="21"/>
        </w:rPr>
        <w:t>Vertrag zur Auftragsverarbeitung (Art. 28 DSGVO)</w:t>
      </w:r>
      <w:r>
        <w:rPr>
          <w:rFonts w:ascii="Calibri" w:hAnsi="Calibri"/>
          <w:b w:val="0"/>
          <w:i w:val="0"/>
          <w:color w:val="0B1026"/>
          <w:sz w:val="21"/>
        </w:rPr>
        <w:t>.</w:t>
      </w:r>
    </w:p>
    <w:p>
      <w:pPr>
        <w:spacing w:before="200" w:after="80" w:line="269" w:lineRule="auto"/>
        <w:pBdr>
          <w:bottom w:val="single" w:sz="6" w:space="3" w:color="D7DCEA"/>
        </w:pBdr>
      </w:pPr>
      <w:r>
        <w:rPr>
          <w:rFonts w:ascii="Calibri" w:hAnsi="Calibri"/>
          <w:b/>
          <w:i w:val="0"/>
          <w:color w:val="4F46E5"/>
          <w:sz w:val="24"/>
        </w:rPr>
        <w:t xml:space="preserve">§ 9  </w:t>
      </w:r>
      <w:r>
        <w:rPr>
          <w:rFonts w:ascii="Calibri" w:hAnsi="Calibri"/>
          <w:b/>
          <w:i w:val="0"/>
          <w:color w:val="0B1026"/>
          <w:sz w:val="24"/>
        </w:rPr>
        <w:t>Schlussbestimmungen</w:t>
      </w:r>
    </w:p>
    <w:p>
      <w:pPr>
        <w:spacing w:before="40" w:after="120" w:line="269" w:lineRule="auto"/>
      </w:pPr>
      <w:r>
        <w:rPr>
          <w:rFonts w:ascii="Calibri" w:hAnsi="Calibri"/>
          <w:b w:val="0"/>
          <w:i w:val="0"/>
          <w:color w:val="0B1026"/>
          <w:sz w:val="21"/>
        </w:rPr>
        <w:t>Änderungen bedürfen der Textform. Es gilt deutsches Recht; Gerichtsstand ist — soweit zulässig — Bremen. Sollte eine Bestimmung unwirksam sein, bleibt der Vertrag im Übrigen wirksam (salvatorische Klausel).</w:t>
      </w:r>
    </w:p>
    <w:tbl>
      <w:tblPr>
        <w:tblW w:type="auto" w:w="0"/>
        <w:tblLook w:firstColumn="1" w:firstRow="1" w:lastColumn="0" w:lastRow="0" w:noHBand="0" w:noVBand="1" w:val="04A0"/>
        <w:tblBorders>
          <w:top w:val="none"/>
          <w:left w:val="none"/>
          <w:bottom w:val="none"/>
          <w:right w:val="none"/>
          <w:insideH w:val="none"/>
          <w:insideV w:val="none"/>
        </w:tblBorders>
      </w:tblPr>
      <w:tblGrid>
        <w:gridCol w:w="4933"/>
        <w:gridCol w:w="4933"/>
      </w:tblGrid>
      <w:tr>
        <w:tc>
          <w:tcPr>
            <w:tcW w:type="dxa" w:w="4933"/>
            <w:tcMar>
              <w:top w:w="0" w:type="dxa"/>
              <w:bottom w:w="0" w:type="dxa"/>
              <w:left w:w="0" w:type="dxa"/>
              <w:right w:w="200" w:type="dxa"/>
            </w:tcMar>
          </w:tcPr>
          <w:p>
            <w:r>
              <w:rPr>
                <w:rFonts w:ascii="Calibri" w:hAnsi="Calibri"/>
                <w:b w:val="0"/>
                <w:i w:val="0"/>
                <w:color w:val="485672"/>
                <w:sz w:val="18"/>
              </w:rPr>
              <w:t>Ort, Datum</w:t>
            </w:r>
          </w:p>
          <w:p/>
          <w:p/>
          <w:p>
            <w:pPr>
              <w:pBdr>
                <w:top w:val="single" w:sz="8" w:space="3" w:color="0B1026"/>
              </w:pBdr>
            </w:pPr>
            <w:r>
              <w:rPr>
                <w:rFonts w:ascii="Calibri" w:hAnsi="Calibri"/>
                <w:b w:val="0"/>
                <w:i w:val="0"/>
                <w:color w:val="485672"/>
                <w:sz w:val="17"/>
              </w:rPr>
              <w:t>I &amp; R Development GbR — Auftragnehmer</w:t>
            </w:r>
          </w:p>
        </w:tc>
        <w:tc>
          <w:tcPr>
            <w:tcW w:type="dxa" w:w="4933"/>
            <w:tcMar>
              <w:top w:w="0" w:type="dxa"/>
              <w:bottom w:w="0" w:type="dxa"/>
              <w:left w:w="0" w:type="dxa"/>
              <w:right w:w="200" w:type="dxa"/>
            </w:tcMar>
          </w:tcPr>
          <w:p>
            <w:r>
              <w:rPr>
                <w:rFonts w:ascii="Calibri" w:hAnsi="Calibri"/>
                <w:b w:val="0"/>
                <w:i w:val="0"/>
                <w:color w:val="485672"/>
                <w:sz w:val="18"/>
              </w:rPr>
              <w:t>Ort, Datum</w:t>
            </w:r>
          </w:p>
          <w:p/>
          <w:p/>
          <w:p>
            <w:pPr>
              <w:pBdr>
                <w:top w:val="single" w:sz="8" w:space="3" w:color="0B1026"/>
              </w:pBdr>
            </w:pPr>
            <w:r>
              <w:rPr>
                <w:rFonts w:ascii="Calibri" w:hAnsi="Calibri"/>
                <w:b w:val="0"/>
                <w:i w:val="0"/>
                <w:color w:val="5B4B00"/>
                <w:sz w:val="17"/>
                <w:highlight w:val="yellow"/>
              </w:rPr>
              <w:t>Auftraggeber</w:t>
            </w:r>
          </w:p>
        </w:tc>
      </w:tr>
    </w:tbl>
    <w:tbl>
      <w:tblPr>
        <w:tblW w:type="auto" w:w="0"/>
        <w:tblLook w:firstColumn="1" w:firstRow="1" w:lastColumn="0" w:lastRow="0" w:noHBand="0" w:noVBand="1" w:val="04A0"/>
        <w:tblBorders>
          <w:top w:val="single" w:sz="6" w:space="0" w:color="D7DCEA"/>
          <w:left w:val="single" w:sz="6" w:space="0" w:color="D7DCEA"/>
          <w:bottom w:val="single" w:sz="6" w:space="0" w:color="D7DCEA"/>
          <w:right w:val="single" w:sz="6" w:space="0" w:color="D7DCEA"/>
          <w:insideH w:val="single" w:sz="6" w:space="0" w:color="D7DCEA"/>
          <w:insideV w:val="single" w:sz="6" w:space="0" w:color="D7DCEA"/>
        </w:tblBorders>
      </w:tblPr>
      <w:tblGrid>
        <w:gridCol w:w="9866"/>
      </w:tblGrid>
      <w:tr>
        <w:tc>
          <w:tcPr>
            <w:tcW w:type="dxa" w:w="9866"/>
            <w:shd w:val="clear" w:color="auto" w:fill="F4F6FC"/>
            <w:tcMar>
              <w:top w:w="80" w:type="dxa"/>
              <w:bottom w:w="80" w:type="dxa"/>
              <w:left w:w="120" w:type="dxa"/>
              <w:right w:w="120" w:type="dxa"/>
            </w:tcMar>
          </w:tcPr>
          <w:p>
            <w:r>
              <w:rPr>
                <w:rFonts w:ascii="Calibri" w:hAnsi="Calibri"/>
                <w:b w:val="0"/>
                <w:i/>
                <w:color w:val="485672"/>
                <w:sz w:val="17"/>
              </w:rPr>
              <w:t xml:space="preserve">⚖️ </w:t>
            </w:r>
            <w:r>
              <w:rPr>
                <w:rFonts w:ascii="Calibri" w:hAnsi="Calibri"/>
                <w:b/>
                <w:i/>
                <w:color w:val="485672"/>
                <w:sz w:val="17"/>
              </w:rPr>
              <w:t>Muster ohne Gewähr — keine Rechtsberatung.</w:t>
            </w:r>
            <w:r>
              <w:rPr>
                <w:rFonts w:ascii="Calibri" w:hAnsi="Calibri"/>
                <w:b w:val="0"/>
                <w:i/>
                <w:color w:val="485672"/>
                <w:sz w:val="17"/>
              </w:rPr>
              <w:t xml:space="preserve"> Reaktionszeiten, Pauschale und Servicezeiten an Ihr Angebot anpassen. Vor Verwendung anwaltlich prüfen lassen.</w:t>
            </w:r>
          </w:p>
        </w:tc>
      </w:tr>
    </w:tbl>
    <w:sectPr w:rsidR="00FC693F" w:rsidRPr="0006063C" w:rsidSect="00034616">
      <w:headerReference w:type="default" r:id="rId9"/>
      <w:footerReference w:type="default" r:id="rId10"/>
      <w:pgSz w:w="11906" w:h="16838"/>
      <w:pgMar w:top="907" w:right="1020" w:bottom="907" w:left="1020" w:header="567" w:footer="45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Calibri" w:hAnsi="Calibri"/>
        <w:b w:val="0"/>
        <w:i w:val="0"/>
        <w:color w:val="7E8AA6"/>
        <w:sz w:val="15"/>
      </w:rPr>
      <w:t xml:space="preserve">I &amp; R Development GbR · Findorffstraße 60, 28215 Bremen · kontakt@i-r-dev.de · §19 UStG · </w:t>
    </w:r>
    <w:r>
      <w:rPr>
        <w:rFonts w:ascii="Calibri" w:hAnsi="Calibri"/>
        <w:b w:val="0"/>
        <w:i w:val="0"/>
        <w:color w:val="7E8AA6"/>
        <w:sz w:val="15"/>
      </w:rPr>
      <w:t xml:space="preserve">Seite </w:t>
    </w:r>
    <w:r>
      <w:fldChar w:fldCharType="begin"/>
      <w:instrText xml:space="preserve">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left"/>
      <w:pBdr>
        <w:bottom w:val="single" w:sz="8" w:space="6" w:color="8B5CF6"/>
      </w:pBdr>
    </w:pPr>
    <w:r>
      <w:drawing>
        <wp:inline xmlns:a="http://schemas.openxmlformats.org/drawingml/2006/main" xmlns:pic="http://schemas.openxmlformats.org/drawingml/2006/picture">
          <wp:extent cx="1728000" cy="355221"/>
          <wp:docPr id="1" name="Picture 1"/>
          <wp:cNvGraphicFramePr>
            <a:graphicFrameLocks noChangeAspect="1"/>
          </wp:cNvGraphicFramePr>
          <a:graphic>
            <a:graphicData uri="http://schemas.openxmlformats.org/drawingml/2006/picture">
              <pic:pic>
                <pic:nvPicPr>
                  <pic:cNvPr id="0" name="logo-lockup.png"/>
                  <pic:cNvPicPr/>
                </pic:nvPicPr>
                <pic:blipFill>
                  <a:blip r:embed="rId1"/>
                  <a:stretch>
                    <a:fillRect/>
                  </a:stretch>
                </pic:blipFill>
                <pic:spPr>
                  <a:xfrm>
                    <a:off x="0" y="0"/>
                    <a:ext cx="1728000" cy="355221"/>
                  </a:xfrm>
                  <a:prstGeom prst="rect"/>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olor w:val="0B1026"/>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